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14:textFill>
            <w14:solidFill>
              <w14:schemeClr w14:val="tx1"/>
            </w14:solidFill>
          </w14:textFill>
        </w:rPr>
        <w:t>大兴区促进产业高质量发展的指导意见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Style w:val="1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16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为深入贯彻习近平新时代中国特色社会主义思想，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实施好北京城市总体规划，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立足大兴区“三区一门户”功能定位，加快培育新质生产力，打造一流营商环境，构建现代产业体系，促进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区域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高质量发展，特制定本意见。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一、</w:t>
      </w:r>
      <w:r>
        <w:rPr>
          <w:rStyle w:val="16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支持方向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立足区域功能定位，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聚焦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生命健康、临空经济、先进制造等主导产业及新兴产业、未来产业，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根据不同产业特点，坚持因地制宜，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实施差异化产业政策，打造具有国际竞争力的现代化产业集群，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力构建产业引领、创新驱动、人才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保障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金融服务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的高质量发展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格局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黑体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Style w:val="16"/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Style w:val="16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二、政策体系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根据发展需要，建立协调配套、共促发展的“1+N”产业政策体系，“1”为本指导意见，指导专项政策制定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保障政策体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系全面性、统一性；“N”为专项政策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根据实际需要制定行业个性化条款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完善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现代产业体系，做强特色产业链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1.支撑生物医药能级跃升。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完善医药健康全产业链，推动医药健康产业高质量发展。激发科技创新能力，布局重大引领性项目，支持医药健康产业集聚发展。支持创新药械研发，加速推进临床产品产业化落地。支持产业多元化落地发展，促进企业做大做强。加快创新产品市场推广，鼓励企业不断开拓国际市场，提高国家竞争力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2.推动商业航天创新突破。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助力产业集聚发展，推动科技成果转化支持设备投资，鼓励建设创新中心、重点实验室、工程研究中心等各类创新平台，支持参与行业标准制定，助力航空航天国际、国家及行业标准完善，推动建设公共服务平台形成行业合力，降低创新发展风险，开展高水平行业交流，全方位做好服务保障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3.放大氢能产业领跑优势。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给予企业从技术研发到产品应用的全链条政策支持。鼓励创新主体对关键领域进行技术攻关，支持氢能科研平台建设，促进前沿技术成果向产业化应用转化。开放多领域氢能示范场景，对车辆推广应用和高效运营给予补贴支持。根据企业年采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燃料电池零部件具体情况给予补贴。鼓励企业、科研院所开展高水平行业交流活动。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激活数字经济创新动能。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构建全链条政策支持体系，支持算力、人工智能等信息软件企业深度赋能实体经济，支持重点领域关键技术攻关及数字经济领域共性技术、服务等创新平台建设，鼓励企业资质认证、举办产业促进活动，加速产业人才汇聚，发挥数据要素效应，促进数字经济高质量、可持续发展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5.促进商务领域提质升级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推进国际消费中心城市建设，发展首店经济，鼓励举办多元活动，激发特色街区活力，支持商贸、餐饮、小微企业发展；推进高水平对外开放，促进总部企业能级提升，支持吸引利用外资；鼓励参加境外展会，推动外贸扩规模优结构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激发科技创新潜能，构建活力创新链</w:t>
      </w:r>
    </w:p>
    <w:p>
      <w:pPr>
        <w:pStyle w:val="1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highlight w:val="yellow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u w:val="none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1.提升科技创新整体效能。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提升区域科技创新能力，加快推进科技创新引领区建设。支持高新技术企业、研发中心、独角兽等创新资源集聚发展。打造专业化服务平台体系，支持科技服务业发展，提升孵化器、加速器空间载体服务能力。加快科技成果转移转化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支持企业加大研发投入，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支持搭建新技术新产品应用场景。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yellow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2.增强高精尖产业竞争力。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促进优质研发机构和创新型企业增量发展，促进高精尖产业集聚发展。推动潜力型企业做大做强，支持企业发展壮大及资质认证工作，做好老旧厂房改造利用和配套升级改造。同步做好资融资服务，畅通融资渠道。积极向国家、市级争取政策优惠、先行先试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eastAsia="zh-CN"/>
        </w:rPr>
        <w:t>助力知识产权提质增效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提升知识产权创造能力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，鼓励开展高质量知识产权创造，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助力开展知识产权品牌建设，激发区域创造动能。强化知识产权保护力度，支持创新主体开展知识产权维权胜诉和知识产权保险。促进知识产权转化运用，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支持专利转化、预警导航、知识产权质押等项目转化实施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优化知识产权服务体系，鼓励知识产权服务机构做大做强。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汇聚顶尖智力资源，培育优质人才链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1.加大优质人才服务供给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加快推动高水平人才高地建设，集聚培养一批在科技、产业和公共服务领域取得显著成绩的人才，发挥人才对大兴区经济和民生事业发展的支撑保障作用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给予符合条件人才政策支持、授予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人才称号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为其进京落户、居住证办理、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行业交流、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住房保障、子女入学、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健康医疗、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个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人激励</w:t>
      </w:r>
      <w:r>
        <w:rPr>
          <w:rFonts w:hint="eastAsia" w:ascii="仿宋_GB2312" w:hAnsi="仿宋_GB2312" w:eastAsia="仿宋_GB2312" w:cs="仿宋_GB2312"/>
          <w:i w:val="0"/>
          <w:caps w:val="0"/>
          <w:strike w:val="0"/>
          <w:dstrike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方面提供全方位服务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吸引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高层次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人才集聚。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优化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核心团队激励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举措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2"/>
          <w:sz w:val="32"/>
          <w:szCs w:val="32"/>
          <w:highlight w:val="none"/>
          <w:u w:val="none"/>
          <w:lang w:val="en-US" w:eastAsia="zh-CN" w:bidi="ar-SA"/>
        </w:rPr>
        <w:t>充分发挥核心团队在产业发展中的引领作用，助力企业引聚优秀人才，对符合区域重点引导方向、扶持产业发展的企业，通过实施综合考评机制，对符合条件的企业给予奖励和服务，切实激发团队创新创造活力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3.强化人才住房保障措施。</w:t>
      </w:r>
      <w:r>
        <w:rPr>
          <w:rFonts w:hint="eastAsia" w:ascii="仿宋_GB2312" w:hAnsi="仿宋_GB2312" w:eastAsia="仿宋_GB2312" w:cs="仿宋_GB2312"/>
          <w:b w:val="0"/>
          <w:strike w:val="0"/>
          <w:dstrike w:val="0"/>
          <w:kern w:val="2"/>
          <w:sz w:val="32"/>
          <w:szCs w:val="32"/>
          <w:highlight w:val="none"/>
          <w:u w:val="none"/>
          <w:lang w:val="en-US" w:eastAsia="zh-CN" w:bidi="ar-SA"/>
        </w:rPr>
        <w:t>科学统筹房源布局、优化分配流程、强化动态管理，为产业人才提供不高于同地段、同类型市场租金水平的高品质住房，打造“住有所居、居有所安”的安居环境，切实解决人才后顾之忧，让人才安心扎根、专心创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构建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多元融资体系，筑牢稳健资金链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1.强化产业基金引导带动。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积极探索政府资金市场化运作模式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设立产业引导基金，带动投资机构和社会资本投入，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highlight w:val="none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采用股权投资等方式全力支持企业发展壮大，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投向大兴区重点产业领域，发挥财政资金撬动放大作用，形成资金集聚效应，进一步推进区域经济结构调整和产业升级。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2.持续发挥融资担保效能。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破解“企业融资难、银行放贷也难”的供需难题，对中小微企业全面降低担保费率。强化政府性融资担保机构普惠职能，进一步支持扩大中小微企业融资担保业务规模，降低中小微企业融资担保成本，引导更多金融资源配置到中小微企业，助推区域经济健康发展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3.健全配套资金支持保障。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区级配套方面，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鼓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励企业申请国家、北京市财政资金支持项目，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区级将按照比例给予配套资金支持；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贷款贴息方面，符合条件的企业通过银行贷款、融资租赁等方式，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扩大生产经营规模或研发创新，可按照不高于一年期银行贷款基准利率给予贴息；房租补贴方面，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符合条件的企业租用办公、研发、生产等各类功能性用房，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可按照不超过区域房租指导价给予补贴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，期限不超过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年。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黑体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三、</w:t>
      </w:r>
      <w:r>
        <w:rPr>
          <w:rStyle w:val="16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支持原则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按择优不重复的原则，同一企业的同一项目或事项不重复享受政策支持。各类政策标准须符合相关法律，最终以区级职能部门审批为准。</w:t>
      </w:r>
    </w:p>
    <w:p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黑体" w:cs="仿宋_GB2312"/>
          <w:i w:val="0"/>
          <w:caps w:val="0"/>
          <w:color w:val="000000" w:themeColor="text1"/>
          <w:spacing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四、</w:t>
      </w:r>
      <w:r>
        <w:rPr>
          <w:rStyle w:val="16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管理实施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严格执行全国统一大市场建设、《公平竞争审查条例》相关要求，各项支持措施依照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政策制定部门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已发布生效的具体政策文件实施并初审，区产促中心统一复审、联审及兑现。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政策制定部门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需落实产业政策相关管理制度，对拟出台产业政策依规开展前评估，并定期聚焦政策执行情况进行产业政策后评价，确保政策资金使用科学高效，推动区域产业融合发展。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政策支持资金，主要用于企业科技研发、设备投入、人才奖励和配套保障方面，企业每年第一季度向政策制定部门申报，上一年度政策资金原则上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于第二年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完成兑现，每年一次。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　　其他服务保障，相关部门按政策规定即申即办。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Style w:val="16"/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16"/>
          <w:rFonts w:hint="eastAsia" w:ascii="楷体_GB2312" w:hAnsi="楷体_GB2312" w:eastAsia="楷体_GB2312" w:cs="楷体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　</w:t>
      </w:r>
      <w:r>
        <w:rPr>
          <w:rStyle w:val="16"/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　五、附则</w:t>
      </w:r>
    </w:p>
    <w:p>
      <w:pPr>
        <w:pStyle w:val="1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本意见由区发展改革委负责解释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自发布之日起施行。施行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后，原《大兴区促进产业高质量发展的指导意见》（京兴政发〔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22号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eastAsia="zh-CN"/>
          <w14:textFill>
            <w14:solidFill>
              <w14:schemeClr w14:val="tx1"/>
            </w14:solidFill>
          </w14:textFill>
        </w:rPr>
        <w:t>）政策废止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1906" w:h="16838"/>
      <w:pgMar w:top="2098" w:right="1474" w:bottom="1984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Noto Sans Mono CJK JP Bold">
    <w:panose1 w:val="020B0800000000000000"/>
    <w:charset w:val="86"/>
    <w:family w:val="swiss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DOqXm5zwAAAAUBAAAPAAAAAAAAAAEAIAAAADgAAABkcnMvZG93bnJldi54bWxQSwEC&#10;FAAUAAAACACHTuJAs4h+BecBAADHAwAADgAAAAAAAAABACAAAAA0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76225"/>
    <w:rsid w:val="07DAB217"/>
    <w:rsid w:val="0DF3D958"/>
    <w:rsid w:val="12CFE04E"/>
    <w:rsid w:val="17B79CA4"/>
    <w:rsid w:val="17BF6D26"/>
    <w:rsid w:val="17FD0ED4"/>
    <w:rsid w:val="19776991"/>
    <w:rsid w:val="19FD1575"/>
    <w:rsid w:val="1AF2A215"/>
    <w:rsid w:val="1BBB89C5"/>
    <w:rsid w:val="1BF21A25"/>
    <w:rsid w:val="1BFE9FDA"/>
    <w:rsid w:val="1CCE3899"/>
    <w:rsid w:val="1D6FD24B"/>
    <w:rsid w:val="1D9FD838"/>
    <w:rsid w:val="1DF806F5"/>
    <w:rsid w:val="1DFD6D77"/>
    <w:rsid w:val="1E5F5A77"/>
    <w:rsid w:val="1EFBDF81"/>
    <w:rsid w:val="1F7DBD03"/>
    <w:rsid w:val="1FEB11DA"/>
    <w:rsid w:val="1FF700B5"/>
    <w:rsid w:val="1FFB51EF"/>
    <w:rsid w:val="1FFFFC21"/>
    <w:rsid w:val="23EB24A4"/>
    <w:rsid w:val="24EFB55C"/>
    <w:rsid w:val="25EFEA4C"/>
    <w:rsid w:val="26756353"/>
    <w:rsid w:val="26AF0B51"/>
    <w:rsid w:val="27FFEEB3"/>
    <w:rsid w:val="2976834E"/>
    <w:rsid w:val="2BB8410E"/>
    <w:rsid w:val="2D3A9179"/>
    <w:rsid w:val="2D7B5501"/>
    <w:rsid w:val="2D7F084D"/>
    <w:rsid w:val="2DF5926B"/>
    <w:rsid w:val="2EDED52A"/>
    <w:rsid w:val="2EDFD4F7"/>
    <w:rsid w:val="2EEFAE5F"/>
    <w:rsid w:val="2EFE0196"/>
    <w:rsid w:val="2F2F90C6"/>
    <w:rsid w:val="2F6E835B"/>
    <w:rsid w:val="2FB640A6"/>
    <w:rsid w:val="2FD738A8"/>
    <w:rsid w:val="2FDC9F27"/>
    <w:rsid w:val="2FF75BDC"/>
    <w:rsid w:val="31CA2D1B"/>
    <w:rsid w:val="33C8F904"/>
    <w:rsid w:val="33CFFD3A"/>
    <w:rsid w:val="34DFC724"/>
    <w:rsid w:val="34FE50BD"/>
    <w:rsid w:val="35D317A7"/>
    <w:rsid w:val="35DF6797"/>
    <w:rsid w:val="35F7297B"/>
    <w:rsid w:val="3637B97D"/>
    <w:rsid w:val="367F80CD"/>
    <w:rsid w:val="3699DA9E"/>
    <w:rsid w:val="36FFD1DB"/>
    <w:rsid w:val="377D769A"/>
    <w:rsid w:val="37A654AA"/>
    <w:rsid w:val="37A7C406"/>
    <w:rsid w:val="37B7E577"/>
    <w:rsid w:val="37D34C57"/>
    <w:rsid w:val="37D7EDF7"/>
    <w:rsid w:val="37F56730"/>
    <w:rsid w:val="37F79A0C"/>
    <w:rsid w:val="37FD4850"/>
    <w:rsid w:val="37FD9B61"/>
    <w:rsid w:val="37FFD26E"/>
    <w:rsid w:val="387F050F"/>
    <w:rsid w:val="38FF9DF7"/>
    <w:rsid w:val="39DD1CE3"/>
    <w:rsid w:val="3AF1BE60"/>
    <w:rsid w:val="3AFE6A04"/>
    <w:rsid w:val="3BDD6EFF"/>
    <w:rsid w:val="3BE70B4D"/>
    <w:rsid w:val="3BFBF1B0"/>
    <w:rsid w:val="3BFFCF56"/>
    <w:rsid w:val="3BFFFAC0"/>
    <w:rsid w:val="3D3BAA60"/>
    <w:rsid w:val="3DEF407C"/>
    <w:rsid w:val="3DFDE395"/>
    <w:rsid w:val="3E62FBC0"/>
    <w:rsid w:val="3E7F3742"/>
    <w:rsid w:val="3E7FF560"/>
    <w:rsid w:val="3EAB8145"/>
    <w:rsid w:val="3EBCA403"/>
    <w:rsid w:val="3EFF2EE2"/>
    <w:rsid w:val="3EFF37A8"/>
    <w:rsid w:val="3F56EFEE"/>
    <w:rsid w:val="3F5EFF90"/>
    <w:rsid w:val="3F5F9934"/>
    <w:rsid w:val="3F7F0B9A"/>
    <w:rsid w:val="3F7F2B1E"/>
    <w:rsid w:val="3F8DF6B1"/>
    <w:rsid w:val="3FA7377A"/>
    <w:rsid w:val="3FBF5965"/>
    <w:rsid w:val="3FBFCEEC"/>
    <w:rsid w:val="3FC6C887"/>
    <w:rsid w:val="3FCF0865"/>
    <w:rsid w:val="3FCFCDC1"/>
    <w:rsid w:val="3FE89A1C"/>
    <w:rsid w:val="3FF300BF"/>
    <w:rsid w:val="3FF6D97E"/>
    <w:rsid w:val="3FF77D77"/>
    <w:rsid w:val="3FFBDE5A"/>
    <w:rsid w:val="3FFC4762"/>
    <w:rsid w:val="477D8768"/>
    <w:rsid w:val="47F5B630"/>
    <w:rsid w:val="4BDFE11F"/>
    <w:rsid w:val="4BFB2877"/>
    <w:rsid w:val="4BFE2D06"/>
    <w:rsid w:val="4DF565CE"/>
    <w:rsid w:val="4DFFB02E"/>
    <w:rsid w:val="4EA7E542"/>
    <w:rsid w:val="4F7D5E9A"/>
    <w:rsid w:val="4FB6BA35"/>
    <w:rsid w:val="4FBFA1FB"/>
    <w:rsid w:val="4FDD9B58"/>
    <w:rsid w:val="4FE30613"/>
    <w:rsid w:val="4FFF8D6E"/>
    <w:rsid w:val="4FFFC5CF"/>
    <w:rsid w:val="4FFFDAD5"/>
    <w:rsid w:val="53D76398"/>
    <w:rsid w:val="556B8094"/>
    <w:rsid w:val="57DD5A93"/>
    <w:rsid w:val="57DF5000"/>
    <w:rsid w:val="57F3035D"/>
    <w:rsid w:val="597B2BA3"/>
    <w:rsid w:val="59AEECCD"/>
    <w:rsid w:val="59BBBF6A"/>
    <w:rsid w:val="5A5FBAD5"/>
    <w:rsid w:val="5ADE31FC"/>
    <w:rsid w:val="5BDFDD7B"/>
    <w:rsid w:val="5BF6BE92"/>
    <w:rsid w:val="5BF768DC"/>
    <w:rsid w:val="5BFC7FB1"/>
    <w:rsid w:val="5CBE392F"/>
    <w:rsid w:val="5D59BDB4"/>
    <w:rsid w:val="5D7BCB6B"/>
    <w:rsid w:val="5D9FB9D2"/>
    <w:rsid w:val="5DA7F81E"/>
    <w:rsid w:val="5DBE133D"/>
    <w:rsid w:val="5DDBA336"/>
    <w:rsid w:val="5DDE0C80"/>
    <w:rsid w:val="5DF7735C"/>
    <w:rsid w:val="5E4FC97C"/>
    <w:rsid w:val="5EEFEEC4"/>
    <w:rsid w:val="5F3F0AC4"/>
    <w:rsid w:val="5F6D3303"/>
    <w:rsid w:val="5F6D58D8"/>
    <w:rsid w:val="5F74B77A"/>
    <w:rsid w:val="5F9E796F"/>
    <w:rsid w:val="5FABA493"/>
    <w:rsid w:val="5FABC86F"/>
    <w:rsid w:val="5FBC7649"/>
    <w:rsid w:val="5FDF2E81"/>
    <w:rsid w:val="5FE56E69"/>
    <w:rsid w:val="5FF18376"/>
    <w:rsid w:val="5FFB0E71"/>
    <w:rsid w:val="5FFB25E7"/>
    <w:rsid w:val="5FFF5221"/>
    <w:rsid w:val="5FFF587F"/>
    <w:rsid w:val="62DFAAB5"/>
    <w:rsid w:val="637B8873"/>
    <w:rsid w:val="63BFEAC9"/>
    <w:rsid w:val="64734369"/>
    <w:rsid w:val="64FDCE4F"/>
    <w:rsid w:val="65DE51EB"/>
    <w:rsid w:val="66FB3B4E"/>
    <w:rsid w:val="67D9F207"/>
    <w:rsid w:val="67DC80A4"/>
    <w:rsid w:val="67FAAC76"/>
    <w:rsid w:val="68DB9A4D"/>
    <w:rsid w:val="697CEE8F"/>
    <w:rsid w:val="69FBA302"/>
    <w:rsid w:val="6AFF6F0A"/>
    <w:rsid w:val="6B3F173E"/>
    <w:rsid w:val="6B5F5469"/>
    <w:rsid w:val="6BE7FD46"/>
    <w:rsid w:val="6BF7B700"/>
    <w:rsid w:val="6C6F5B93"/>
    <w:rsid w:val="6DE1FF70"/>
    <w:rsid w:val="6DFF0019"/>
    <w:rsid w:val="6DFF3B85"/>
    <w:rsid w:val="6E1FA085"/>
    <w:rsid w:val="6E2F02A1"/>
    <w:rsid w:val="6ED53557"/>
    <w:rsid w:val="6EE6CDE8"/>
    <w:rsid w:val="6EE79BD8"/>
    <w:rsid w:val="6EEF6FA4"/>
    <w:rsid w:val="6EFF25DF"/>
    <w:rsid w:val="6F53C3BA"/>
    <w:rsid w:val="6F6DFF80"/>
    <w:rsid w:val="6F7E2554"/>
    <w:rsid w:val="6F8C2D97"/>
    <w:rsid w:val="6FEDC370"/>
    <w:rsid w:val="6FF749F5"/>
    <w:rsid w:val="6FFB4ED8"/>
    <w:rsid w:val="6FFE2F5D"/>
    <w:rsid w:val="6FFE5DDB"/>
    <w:rsid w:val="6FFFA75D"/>
    <w:rsid w:val="71F37ABE"/>
    <w:rsid w:val="71FB8B44"/>
    <w:rsid w:val="729BC175"/>
    <w:rsid w:val="7371F87E"/>
    <w:rsid w:val="73DF2F28"/>
    <w:rsid w:val="73FF7CC3"/>
    <w:rsid w:val="73FF99D9"/>
    <w:rsid w:val="74FF0D82"/>
    <w:rsid w:val="757C1BCA"/>
    <w:rsid w:val="758FD332"/>
    <w:rsid w:val="75AA2BBE"/>
    <w:rsid w:val="75FB45F8"/>
    <w:rsid w:val="75FE51A7"/>
    <w:rsid w:val="75FFA016"/>
    <w:rsid w:val="75FFF82A"/>
    <w:rsid w:val="7677B85D"/>
    <w:rsid w:val="76B5BD44"/>
    <w:rsid w:val="76F911D6"/>
    <w:rsid w:val="76FEBA47"/>
    <w:rsid w:val="76FF9158"/>
    <w:rsid w:val="775B9AA0"/>
    <w:rsid w:val="775E8F7B"/>
    <w:rsid w:val="77740CF1"/>
    <w:rsid w:val="777539F5"/>
    <w:rsid w:val="777F353F"/>
    <w:rsid w:val="77970A82"/>
    <w:rsid w:val="779FCC19"/>
    <w:rsid w:val="77B57D72"/>
    <w:rsid w:val="77BFC3E1"/>
    <w:rsid w:val="77EF4348"/>
    <w:rsid w:val="77F6EDEC"/>
    <w:rsid w:val="77F72C73"/>
    <w:rsid w:val="77FB7A79"/>
    <w:rsid w:val="77FC72D3"/>
    <w:rsid w:val="77FF090C"/>
    <w:rsid w:val="77FF924D"/>
    <w:rsid w:val="784E01C3"/>
    <w:rsid w:val="78FD24FB"/>
    <w:rsid w:val="795F4DDA"/>
    <w:rsid w:val="79BF3501"/>
    <w:rsid w:val="79BF4D81"/>
    <w:rsid w:val="79D98587"/>
    <w:rsid w:val="79E0AA29"/>
    <w:rsid w:val="79FEB483"/>
    <w:rsid w:val="79FFE692"/>
    <w:rsid w:val="7A7F217C"/>
    <w:rsid w:val="7A7F40FD"/>
    <w:rsid w:val="7AFB0DDF"/>
    <w:rsid w:val="7B5ADA40"/>
    <w:rsid w:val="7B77EE98"/>
    <w:rsid w:val="7B790F2E"/>
    <w:rsid w:val="7B7E5D4D"/>
    <w:rsid w:val="7B7FE11F"/>
    <w:rsid w:val="7B99DC5C"/>
    <w:rsid w:val="7BAF282A"/>
    <w:rsid w:val="7BBE1AAF"/>
    <w:rsid w:val="7BBE95BE"/>
    <w:rsid w:val="7BD761B1"/>
    <w:rsid w:val="7BE34AE3"/>
    <w:rsid w:val="7BEBE017"/>
    <w:rsid w:val="7BFD0550"/>
    <w:rsid w:val="7BFF547D"/>
    <w:rsid w:val="7BFFC857"/>
    <w:rsid w:val="7C26126E"/>
    <w:rsid w:val="7C6BF6FB"/>
    <w:rsid w:val="7C7345B0"/>
    <w:rsid w:val="7CB777A2"/>
    <w:rsid w:val="7CBFA5BE"/>
    <w:rsid w:val="7CD5F9F0"/>
    <w:rsid w:val="7CEFA301"/>
    <w:rsid w:val="7CF75285"/>
    <w:rsid w:val="7D59197A"/>
    <w:rsid w:val="7D79C5D5"/>
    <w:rsid w:val="7D8E000C"/>
    <w:rsid w:val="7D9F1850"/>
    <w:rsid w:val="7DB97895"/>
    <w:rsid w:val="7DBBBC4D"/>
    <w:rsid w:val="7DBE5DDF"/>
    <w:rsid w:val="7DBFAA4F"/>
    <w:rsid w:val="7DDF4ECE"/>
    <w:rsid w:val="7DEE0667"/>
    <w:rsid w:val="7DEF1C6E"/>
    <w:rsid w:val="7DF71AEA"/>
    <w:rsid w:val="7DF7E268"/>
    <w:rsid w:val="7DFD227C"/>
    <w:rsid w:val="7E27A94C"/>
    <w:rsid w:val="7E37EA1E"/>
    <w:rsid w:val="7E6D1D47"/>
    <w:rsid w:val="7E7CA82D"/>
    <w:rsid w:val="7E9EAC6F"/>
    <w:rsid w:val="7EBB9E01"/>
    <w:rsid w:val="7EBBF0E8"/>
    <w:rsid w:val="7ED70DD0"/>
    <w:rsid w:val="7EDF5B5F"/>
    <w:rsid w:val="7EE3BF01"/>
    <w:rsid w:val="7EE77889"/>
    <w:rsid w:val="7EEDA946"/>
    <w:rsid w:val="7EEE6496"/>
    <w:rsid w:val="7EFBFFDA"/>
    <w:rsid w:val="7EFE1C2C"/>
    <w:rsid w:val="7EFF460B"/>
    <w:rsid w:val="7EFF84C9"/>
    <w:rsid w:val="7F2ED2E4"/>
    <w:rsid w:val="7F33FFE5"/>
    <w:rsid w:val="7F35DBE2"/>
    <w:rsid w:val="7F3BCE51"/>
    <w:rsid w:val="7F3E2E6E"/>
    <w:rsid w:val="7F4F1484"/>
    <w:rsid w:val="7F5731B7"/>
    <w:rsid w:val="7F5963EF"/>
    <w:rsid w:val="7F5BF711"/>
    <w:rsid w:val="7F5E6F08"/>
    <w:rsid w:val="7F63BF84"/>
    <w:rsid w:val="7F64C005"/>
    <w:rsid w:val="7F675026"/>
    <w:rsid w:val="7F7747B5"/>
    <w:rsid w:val="7F78B46F"/>
    <w:rsid w:val="7F7B1E4C"/>
    <w:rsid w:val="7F7B7AD7"/>
    <w:rsid w:val="7F7D816E"/>
    <w:rsid w:val="7F7EB3AE"/>
    <w:rsid w:val="7F7F72F4"/>
    <w:rsid w:val="7F7FCA6B"/>
    <w:rsid w:val="7F908E58"/>
    <w:rsid w:val="7F965860"/>
    <w:rsid w:val="7F9D2BA3"/>
    <w:rsid w:val="7FA6C9D2"/>
    <w:rsid w:val="7FAD01E6"/>
    <w:rsid w:val="7FB4BFDA"/>
    <w:rsid w:val="7FB5A40D"/>
    <w:rsid w:val="7FB75133"/>
    <w:rsid w:val="7FBB9B25"/>
    <w:rsid w:val="7FBC3331"/>
    <w:rsid w:val="7FBF08EA"/>
    <w:rsid w:val="7FBFA24A"/>
    <w:rsid w:val="7FBFABB9"/>
    <w:rsid w:val="7FD306C0"/>
    <w:rsid w:val="7FD75563"/>
    <w:rsid w:val="7FD7E8E5"/>
    <w:rsid w:val="7FDB7A38"/>
    <w:rsid w:val="7FDBAF85"/>
    <w:rsid w:val="7FDE7E57"/>
    <w:rsid w:val="7FDFAC97"/>
    <w:rsid w:val="7FE5905F"/>
    <w:rsid w:val="7FEBC258"/>
    <w:rsid w:val="7FEF8A0F"/>
    <w:rsid w:val="7FF1D343"/>
    <w:rsid w:val="7FFA8036"/>
    <w:rsid w:val="7FFAF8DF"/>
    <w:rsid w:val="7FFB8E8E"/>
    <w:rsid w:val="7FFCA32B"/>
    <w:rsid w:val="7FFF6455"/>
    <w:rsid w:val="7FFFC227"/>
    <w:rsid w:val="847F99E8"/>
    <w:rsid w:val="876DE911"/>
    <w:rsid w:val="87776E09"/>
    <w:rsid w:val="8E72F186"/>
    <w:rsid w:val="8FDA5774"/>
    <w:rsid w:val="977B219D"/>
    <w:rsid w:val="98DFADAA"/>
    <w:rsid w:val="995D1A8C"/>
    <w:rsid w:val="99BF43DA"/>
    <w:rsid w:val="9BD76BAE"/>
    <w:rsid w:val="9BFBA717"/>
    <w:rsid w:val="9BFE58EB"/>
    <w:rsid w:val="9C67C600"/>
    <w:rsid w:val="9C778CA7"/>
    <w:rsid w:val="9DE9F135"/>
    <w:rsid w:val="9E76F111"/>
    <w:rsid w:val="9F73A96F"/>
    <w:rsid w:val="9F9F1A07"/>
    <w:rsid w:val="9FDEA703"/>
    <w:rsid w:val="9FE7C178"/>
    <w:rsid w:val="9FE7CBEF"/>
    <w:rsid w:val="9FEB2CFE"/>
    <w:rsid w:val="9FEE7448"/>
    <w:rsid w:val="A3FC3E3F"/>
    <w:rsid w:val="A6ECD63F"/>
    <w:rsid w:val="A6FF0158"/>
    <w:rsid w:val="A7FD0900"/>
    <w:rsid w:val="A8B1DB4D"/>
    <w:rsid w:val="AA76705C"/>
    <w:rsid w:val="AAEBAEB2"/>
    <w:rsid w:val="AC677BDE"/>
    <w:rsid w:val="AEAF05B2"/>
    <w:rsid w:val="AEEF7679"/>
    <w:rsid w:val="AFACE830"/>
    <w:rsid w:val="AFBDDAEC"/>
    <w:rsid w:val="AFDF5DED"/>
    <w:rsid w:val="AFEC5D08"/>
    <w:rsid w:val="AFF71A78"/>
    <w:rsid w:val="AFFB2379"/>
    <w:rsid w:val="AFFFCF2B"/>
    <w:rsid w:val="B1FFB0BF"/>
    <w:rsid w:val="B27DFAB0"/>
    <w:rsid w:val="B2EF518E"/>
    <w:rsid w:val="B37B2250"/>
    <w:rsid w:val="B3FFF1B0"/>
    <w:rsid w:val="B560882B"/>
    <w:rsid w:val="B5BFBD55"/>
    <w:rsid w:val="B5E7FE26"/>
    <w:rsid w:val="B5F127D6"/>
    <w:rsid w:val="B5FF7B0A"/>
    <w:rsid w:val="B6156429"/>
    <w:rsid w:val="B77E8853"/>
    <w:rsid w:val="B7B33B0F"/>
    <w:rsid w:val="B7BE29C5"/>
    <w:rsid w:val="B7F9118F"/>
    <w:rsid w:val="B87B78E2"/>
    <w:rsid w:val="B8FDC189"/>
    <w:rsid w:val="B99F7A83"/>
    <w:rsid w:val="B9E90A1A"/>
    <w:rsid w:val="B9F6A0BF"/>
    <w:rsid w:val="BAE73C90"/>
    <w:rsid w:val="BAFF1F93"/>
    <w:rsid w:val="BB3F5548"/>
    <w:rsid w:val="BB5B18F9"/>
    <w:rsid w:val="BBDD7109"/>
    <w:rsid w:val="BBE4C3B8"/>
    <w:rsid w:val="BBEE9EC2"/>
    <w:rsid w:val="BBF797BA"/>
    <w:rsid w:val="BCB75324"/>
    <w:rsid w:val="BCBC63E2"/>
    <w:rsid w:val="BDDF779F"/>
    <w:rsid w:val="BDFF7710"/>
    <w:rsid w:val="BE3EC7D6"/>
    <w:rsid w:val="BE5FCF9A"/>
    <w:rsid w:val="BE9296B7"/>
    <w:rsid w:val="BEB75A44"/>
    <w:rsid w:val="BEBDC846"/>
    <w:rsid w:val="BEC7F6DC"/>
    <w:rsid w:val="BEFC64E5"/>
    <w:rsid w:val="BEFFBC68"/>
    <w:rsid w:val="BF579156"/>
    <w:rsid w:val="BF5E09CE"/>
    <w:rsid w:val="BF7D1C7A"/>
    <w:rsid w:val="BF7F2504"/>
    <w:rsid w:val="BF9F2F8F"/>
    <w:rsid w:val="BFBFB658"/>
    <w:rsid w:val="BFE51FF1"/>
    <w:rsid w:val="BFF11A26"/>
    <w:rsid w:val="BFFA58CC"/>
    <w:rsid w:val="BFFDCE7F"/>
    <w:rsid w:val="C1FB37B9"/>
    <w:rsid w:val="C3F4DB67"/>
    <w:rsid w:val="C57B5B72"/>
    <w:rsid w:val="C77C7308"/>
    <w:rsid w:val="C7B7DC52"/>
    <w:rsid w:val="C8EF7756"/>
    <w:rsid w:val="C99F3C20"/>
    <w:rsid w:val="CA7E9CFF"/>
    <w:rsid w:val="CBFE1511"/>
    <w:rsid w:val="CCEFC847"/>
    <w:rsid w:val="CE7F96BA"/>
    <w:rsid w:val="CE9DE3D5"/>
    <w:rsid w:val="CF7FB032"/>
    <w:rsid w:val="CFD70BEE"/>
    <w:rsid w:val="CFF329A5"/>
    <w:rsid w:val="CFFBB818"/>
    <w:rsid w:val="CFFFCAE6"/>
    <w:rsid w:val="D3AE5F74"/>
    <w:rsid w:val="D5A18FA2"/>
    <w:rsid w:val="D65FD72B"/>
    <w:rsid w:val="D6A75C56"/>
    <w:rsid w:val="D757D99A"/>
    <w:rsid w:val="D77BB070"/>
    <w:rsid w:val="D7B74890"/>
    <w:rsid w:val="D7B7C615"/>
    <w:rsid w:val="D7DFA1FD"/>
    <w:rsid w:val="D7F4FD7F"/>
    <w:rsid w:val="D7F5CB13"/>
    <w:rsid w:val="D7F62EDC"/>
    <w:rsid w:val="D7FD4914"/>
    <w:rsid w:val="D7FE64D7"/>
    <w:rsid w:val="D8DFBF2A"/>
    <w:rsid w:val="D98E6880"/>
    <w:rsid w:val="DA5F6D1B"/>
    <w:rsid w:val="DBCFB0EA"/>
    <w:rsid w:val="DBF79998"/>
    <w:rsid w:val="DBF7BDE0"/>
    <w:rsid w:val="DBFBDD4E"/>
    <w:rsid w:val="DCB579F3"/>
    <w:rsid w:val="DCEF8730"/>
    <w:rsid w:val="DCF78752"/>
    <w:rsid w:val="DDAD866E"/>
    <w:rsid w:val="DDDC17DC"/>
    <w:rsid w:val="DEBD76E4"/>
    <w:rsid w:val="DEFB41C4"/>
    <w:rsid w:val="DEFBC658"/>
    <w:rsid w:val="DEFE4DB9"/>
    <w:rsid w:val="DF3F3CD7"/>
    <w:rsid w:val="DF5765A2"/>
    <w:rsid w:val="DF5F3D28"/>
    <w:rsid w:val="DF7795C0"/>
    <w:rsid w:val="DF7D0130"/>
    <w:rsid w:val="DF7D350B"/>
    <w:rsid w:val="DFAF1109"/>
    <w:rsid w:val="DFB6EC00"/>
    <w:rsid w:val="DFCE4334"/>
    <w:rsid w:val="DFCE7851"/>
    <w:rsid w:val="DFDD0CBD"/>
    <w:rsid w:val="DFDD1CAC"/>
    <w:rsid w:val="DFECD6FC"/>
    <w:rsid w:val="DFF0CDBC"/>
    <w:rsid w:val="DFF72B02"/>
    <w:rsid w:val="DFF7C37F"/>
    <w:rsid w:val="DFFD43F5"/>
    <w:rsid w:val="DFFF46F9"/>
    <w:rsid w:val="DFFF502B"/>
    <w:rsid w:val="DFFF7354"/>
    <w:rsid w:val="DFFF8C54"/>
    <w:rsid w:val="E34B2646"/>
    <w:rsid w:val="E36A4834"/>
    <w:rsid w:val="E6DE74E9"/>
    <w:rsid w:val="E6F78498"/>
    <w:rsid w:val="E6FFAACD"/>
    <w:rsid w:val="E75F9CE7"/>
    <w:rsid w:val="E7BF6C8D"/>
    <w:rsid w:val="E7DD0F74"/>
    <w:rsid w:val="E9BFD211"/>
    <w:rsid w:val="E9CBD0F6"/>
    <w:rsid w:val="EAFA58A8"/>
    <w:rsid w:val="EAFA9E28"/>
    <w:rsid w:val="EAFFC26C"/>
    <w:rsid w:val="EB7DDF62"/>
    <w:rsid w:val="EBE7B736"/>
    <w:rsid w:val="EBEF5105"/>
    <w:rsid w:val="EBF50B00"/>
    <w:rsid w:val="EBFB9248"/>
    <w:rsid w:val="EC7E54DC"/>
    <w:rsid w:val="ED59E69A"/>
    <w:rsid w:val="EDDF7952"/>
    <w:rsid w:val="EDEB0E3F"/>
    <w:rsid w:val="EE4DE4A7"/>
    <w:rsid w:val="EE7FF865"/>
    <w:rsid w:val="EEBFBA94"/>
    <w:rsid w:val="EED8045D"/>
    <w:rsid w:val="EEEFB214"/>
    <w:rsid w:val="EF371D38"/>
    <w:rsid w:val="EF5FCBCD"/>
    <w:rsid w:val="EF7852CF"/>
    <w:rsid w:val="EF7B0678"/>
    <w:rsid w:val="EF7F7285"/>
    <w:rsid w:val="EF7FED82"/>
    <w:rsid w:val="EF8EE417"/>
    <w:rsid w:val="EFBE5D14"/>
    <w:rsid w:val="EFBEE83F"/>
    <w:rsid w:val="EFDE9E5D"/>
    <w:rsid w:val="EFDF5D84"/>
    <w:rsid w:val="EFEFFF05"/>
    <w:rsid w:val="EFF6FC51"/>
    <w:rsid w:val="EFF750A4"/>
    <w:rsid w:val="EFFFB2B1"/>
    <w:rsid w:val="F2B69E78"/>
    <w:rsid w:val="F2F96A71"/>
    <w:rsid w:val="F31F957F"/>
    <w:rsid w:val="F33B6B21"/>
    <w:rsid w:val="F352AB4E"/>
    <w:rsid w:val="F37F71ED"/>
    <w:rsid w:val="F3C7F867"/>
    <w:rsid w:val="F3FB5D91"/>
    <w:rsid w:val="F5FB529F"/>
    <w:rsid w:val="F5FF7090"/>
    <w:rsid w:val="F6378C2C"/>
    <w:rsid w:val="F6F3B280"/>
    <w:rsid w:val="F6FF176F"/>
    <w:rsid w:val="F73FCA70"/>
    <w:rsid w:val="F76F84FE"/>
    <w:rsid w:val="F7DFE988"/>
    <w:rsid w:val="F7FBC43D"/>
    <w:rsid w:val="F7FD185B"/>
    <w:rsid w:val="F7FE294A"/>
    <w:rsid w:val="F87ED573"/>
    <w:rsid w:val="F9B5729A"/>
    <w:rsid w:val="F9BE00E7"/>
    <w:rsid w:val="F9BF48EE"/>
    <w:rsid w:val="F9FB9063"/>
    <w:rsid w:val="F9FCF2A3"/>
    <w:rsid w:val="F9FF9D7D"/>
    <w:rsid w:val="FA5D777B"/>
    <w:rsid w:val="FA6A1A05"/>
    <w:rsid w:val="FADFA490"/>
    <w:rsid w:val="FAEF4B03"/>
    <w:rsid w:val="FB43CCD1"/>
    <w:rsid w:val="FB776D24"/>
    <w:rsid w:val="FB9674A1"/>
    <w:rsid w:val="FBA60001"/>
    <w:rsid w:val="FBAB5024"/>
    <w:rsid w:val="FBAF09CD"/>
    <w:rsid w:val="FBBDDA66"/>
    <w:rsid w:val="FBBEC290"/>
    <w:rsid w:val="FBEF9600"/>
    <w:rsid w:val="FBF1F4AB"/>
    <w:rsid w:val="FBFE0427"/>
    <w:rsid w:val="FBFF4764"/>
    <w:rsid w:val="FBFFA5A4"/>
    <w:rsid w:val="FC7F3A16"/>
    <w:rsid w:val="FCCD12BA"/>
    <w:rsid w:val="FCFBFC01"/>
    <w:rsid w:val="FD1C1ED7"/>
    <w:rsid w:val="FD3F8F66"/>
    <w:rsid w:val="FD5A4C62"/>
    <w:rsid w:val="FDD30375"/>
    <w:rsid w:val="FDEA6DDB"/>
    <w:rsid w:val="FDF488A7"/>
    <w:rsid w:val="FDF73F88"/>
    <w:rsid w:val="FDFE0DBB"/>
    <w:rsid w:val="FDFED415"/>
    <w:rsid w:val="FDFEECD3"/>
    <w:rsid w:val="FE5EE05F"/>
    <w:rsid w:val="FE5F3D6E"/>
    <w:rsid w:val="FE5FC167"/>
    <w:rsid w:val="FE79E184"/>
    <w:rsid w:val="FE7D72FB"/>
    <w:rsid w:val="FE8F28AE"/>
    <w:rsid w:val="FE968DE2"/>
    <w:rsid w:val="FED35900"/>
    <w:rsid w:val="FEDEAE1B"/>
    <w:rsid w:val="FEF704E7"/>
    <w:rsid w:val="FEFDB574"/>
    <w:rsid w:val="FEFE0B54"/>
    <w:rsid w:val="FEFF7F13"/>
    <w:rsid w:val="FEFF996E"/>
    <w:rsid w:val="FF37FB0A"/>
    <w:rsid w:val="FF39AB37"/>
    <w:rsid w:val="FF5E01EA"/>
    <w:rsid w:val="FF61370B"/>
    <w:rsid w:val="FF75C861"/>
    <w:rsid w:val="FF766381"/>
    <w:rsid w:val="FF773F56"/>
    <w:rsid w:val="FF7AEAE7"/>
    <w:rsid w:val="FF7B11EE"/>
    <w:rsid w:val="FF8F2D09"/>
    <w:rsid w:val="FF95E6B7"/>
    <w:rsid w:val="FFABD6DA"/>
    <w:rsid w:val="FFAE0453"/>
    <w:rsid w:val="FFAF1C4C"/>
    <w:rsid w:val="FFB9B425"/>
    <w:rsid w:val="FFBB3A78"/>
    <w:rsid w:val="FFBC728D"/>
    <w:rsid w:val="FFBCF0C7"/>
    <w:rsid w:val="FFC7E855"/>
    <w:rsid w:val="FFCE00D2"/>
    <w:rsid w:val="FFD37319"/>
    <w:rsid w:val="FFD9A300"/>
    <w:rsid w:val="FFDAF4E4"/>
    <w:rsid w:val="FFDB0FED"/>
    <w:rsid w:val="FFDDE99B"/>
    <w:rsid w:val="FFDFBF15"/>
    <w:rsid w:val="FFE77734"/>
    <w:rsid w:val="FFEEA6A9"/>
    <w:rsid w:val="FFEF6EFB"/>
    <w:rsid w:val="FFEFCAF0"/>
    <w:rsid w:val="FFF2BD84"/>
    <w:rsid w:val="FFF572EA"/>
    <w:rsid w:val="FFF65073"/>
    <w:rsid w:val="FFF6B037"/>
    <w:rsid w:val="FFF73A80"/>
    <w:rsid w:val="FFF77828"/>
    <w:rsid w:val="FFF78AB1"/>
    <w:rsid w:val="FFFB8DF2"/>
    <w:rsid w:val="FFFB9280"/>
    <w:rsid w:val="FFFBE7E2"/>
    <w:rsid w:val="FFFC0652"/>
    <w:rsid w:val="FFFD7C0C"/>
    <w:rsid w:val="FFFE6E0D"/>
    <w:rsid w:val="FFFE8118"/>
    <w:rsid w:val="FFFF1482"/>
    <w:rsid w:val="FFFF4E73"/>
    <w:rsid w:val="FFFFA0F3"/>
    <w:rsid w:val="FFFFD259"/>
    <w:rsid w:val="FFFFE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numPr>
        <w:ilvl w:val="2"/>
        <w:numId w:val="1"/>
      </w:numPr>
      <w:spacing w:before="1"/>
      <w:ind w:left="112" w:firstLine="0"/>
      <w:outlineLvl w:val="2"/>
    </w:pPr>
    <w:rPr>
      <w:rFonts w:eastAsia="等线" w:cs="Calibri"/>
      <w:b/>
      <w:bCs/>
      <w:sz w:val="24"/>
    </w:rPr>
  </w:style>
  <w:style w:type="character" w:default="1" w:styleId="15">
    <w:name w:val="Default Paragraph Font"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  <w:rPr>
      <w:szCs w:val="2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before="0" w:after="140" w:line="276" w:lineRule="auto"/>
    </w:pPr>
  </w:style>
  <w:style w:type="paragraph" w:styleId="8">
    <w:name w:val="Plain Text"/>
    <w:basedOn w:val="1"/>
    <w:next w:val="1"/>
    <w:qFormat/>
    <w:uiPriority w:val="0"/>
    <w:rPr>
      <w:rFonts w:ascii="宋体" w:hAnsi="Courier New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"/>
    <w:basedOn w:val="7"/>
    <w:qFormat/>
    <w:uiPriority w:val="0"/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  <w:style w:type="character" w:customStyle="1" w:styleId="17">
    <w:name w:val="默认段落字体1"/>
    <w:qFormat/>
    <w:uiPriority w:val="0"/>
  </w:style>
  <w:style w:type="paragraph" w:customStyle="1" w:styleId="18">
    <w:name w:val="Heading"/>
    <w:basedOn w:val="1"/>
    <w:next w:val="7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9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20">
    <w:name w:val="列表段落1"/>
    <w:basedOn w:val="1"/>
    <w:qFormat/>
    <w:uiPriority w:val="0"/>
    <w:pPr>
      <w:ind w:firstLine="420" w:firstLineChars="200"/>
    </w:pPr>
    <w:rPr>
      <w:rFonts w:ascii="Calibri" w:hAnsi="Calibri" w:eastAsia="宋体"/>
      <w:snapToGrid/>
      <w:kern w:val="2"/>
      <w:sz w:val="21"/>
      <w:szCs w:val="22"/>
    </w:rPr>
  </w:style>
  <w:style w:type="paragraph" w:customStyle="1" w:styleId="21">
    <w:name w:val="BodyText"/>
    <w:basedOn w:val="1"/>
    <w:qFormat/>
    <w:uiPriority w:val="0"/>
    <w:pPr>
      <w:jc w:val="both"/>
      <w:textAlignment w:val="baseline"/>
    </w:pPr>
    <w:rPr>
      <w:rFonts w:ascii="Noto Sans Mono CJK JP Bold" w:hAnsi="Noto Sans Mono CJK JP Bold" w:eastAsia="Noto Sans Mono CJK JP Bold"/>
      <w:kern w:val="2"/>
      <w:sz w:val="28"/>
      <w:szCs w:val="28"/>
      <w:lang w:val="en-US" w:eastAsia="zh-CN" w:bidi="ar-SA"/>
    </w:rPr>
  </w:style>
  <w:style w:type="character" w:customStyle="1" w:styleId="2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3925</Words>
  <Characters>3987</Characters>
  <TotalTime>0</TotalTime>
  <ScaleCrop>false</ScaleCrop>
  <LinksUpToDate>false</LinksUpToDate>
  <CharactersWithSpaces>3994</CharactersWithSpaces>
  <Application>WPS Office_12.8.2.1113_F1E327BC-269C-435d-A152-05C5408002CA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2018-12-11T17:47:00Z</dcterms:created>
  <dc:creator>user</dc:creator>
  <cp:lastModifiedBy>霍阳</cp:lastModifiedBy>
  <cp:lastPrinted>2025-05-17T18:33:00Z</cp:lastPrinted>
  <dcterms:modified xsi:type="dcterms:W3CDTF">2025-06-12T17:30:57Z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BB592F017C9E2A2B0E0523680BA1ED2A_43</vt:lpwstr>
  </property>
</Properties>
</file>