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5"/>
        <w:gridCol w:w="5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bookmarkStart w:id="0" w:name="OLE_LINK37"/>
            <w:r>
              <w:rPr>
                <w:rFonts w:hint="eastAsia" w:ascii="宋体" w:hAnsi="宋体" w:eastAsia="宋体" w:cs="Times New Roman"/>
                <w:sz w:val="24"/>
                <w:szCs w:val="24"/>
                <w:lang w:eastAsia="zh-CN"/>
              </w:rPr>
              <w:t>【被调查单位或个人名称】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北京市大兴区环境卫生服务中心垃圾转运站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【事故调查报告名称】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北京大兴环卫中心垃圾转运站“2·5”</w:t>
            </w:r>
          </w:p>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机械伤害事故调查报告</w:t>
            </w:r>
          </w:p>
          <w:p>
            <w:pPr>
              <w:jc w:val="center"/>
              <w:rPr>
                <w:rFonts w:hint="eastAsia" w:ascii="宋体" w:hAnsi="宋体" w:eastAsia="宋体" w:cs="Times New Roman"/>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【事故调查部门】</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大兴区应急管理局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【附件（事故调查报告）】</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bookmarkStart w:id="29" w:name="_GoBack"/>
      <w:bookmarkEnd w:id="29"/>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北京大兴</w:t>
      </w:r>
      <w:r>
        <w:rPr>
          <w:rFonts w:hint="eastAsia" w:ascii="方正小标宋简体" w:hAnsi="方正小标宋简体" w:eastAsia="方正小标宋简体" w:cs="方正小标宋简体"/>
          <w:sz w:val="44"/>
          <w:szCs w:val="44"/>
          <w:lang w:eastAsia="zh-CN"/>
        </w:rPr>
        <w:t>环卫中心垃圾转运站</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w:t>
      </w:r>
    </w:p>
    <w:p>
      <w:pPr>
        <w:spacing w:line="560" w:lineRule="exact"/>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44"/>
          <w:szCs w:val="44"/>
          <w:lang w:eastAsia="zh-CN"/>
        </w:rPr>
        <w:t>机械伤害事故调查报告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lang w:eastAsia="zh-CN"/>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大兴区事故调查组</w:t>
      </w:r>
    </w:p>
    <w:p>
      <w:pPr>
        <w:spacing w:line="560" w:lineRule="exact"/>
        <w:jc w:val="center"/>
        <w:rPr>
          <w:rFonts w:hint="eastAsia" w:ascii="楷体_GB2312" w:hAnsi="楷体_GB2312" w:eastAsia="楷体_GB2312" w:cs="楷体_GB2312"/>
          <w:sz w:val="36"/>
          <w:szCs w:val="36"/>
          <w:lang w:val="en-US" w:eastAsia="zh-CN"/>
        </w:rPr>
        <w:sectPr>
          <w:footerReference r:id="rId4" w:type="default"/>
          <w:pgSz w:w="11906" w:h="16838"/>
          <w:pgMar w:top="2098" w:right="1474" w:bottom="1984" w:left="1587" w:header="851" w:footer="1588" w:gutter="0"/>
          <w:pgNumType w:fmt="numberInDash"/>
          <w:cols w:space="720" w:num="1"/>
          <w:docGrid w:type="lines" w:linePitch="312" w:charSpace="0"/>
        </w:sectPr>
      </w:pPr>
      <w:r>
        <w:rPr>
          <w:rFonts w:hint="eastAsia" w:ascii="楷体_GB2312" w:hAnsi="楷体_GB2312" w:eastAsia="楷体_GB2312" w:cs="楷体_GB2312"/>
          <w:color w:val="000000"/>
          <w:sz w:val="36"/>
          <w:szCs w:val="36"/>
          <w:lang w:val="en-US" w:eastAsia="zh-CN"/>
        </w:rPr>
        <w:t>2025年4月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
          <w:sz w:val="44"/>
          <w:szCs w:val="44"/>
        </w:rPr>
      </w:pPr>
      <w:r>
        <w:rPr>
          <w:rFonts w:hint="eastAsia" w:ascii="黑体" w:hAnsi="黑体" w:eastAsia="黑体" w:cs="黑体"/>
          <w:sz w:val="44"/>
          <w:szCs w:val="44"/>
        </w:rPr>
        <w:t>目   录</w:t>
      </w:r>
    </w:p>
    <w:bookmarkEnd w:id="0"/>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pPr>
      <w:bookmarkStart w:id="1" w:name="_Toc1883307375_WPSOffice_Type2"/>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_Toc932063034_WPSOffice_Level1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一、基本情况</w:t>
      </w:r>
      <w:r>
        <w:rPr>
          <w:rFonts w:hint="eastAsia" w:ascii="楷体_GB2312" w:hAnsi="楷体_GB2312" w:eastAsia="楷体_GB2312" w:cs="楷体_GB2312"/>
          <w:b w:val="0"/>
          <w:bCs w:val="0"/>
          <w:sz w:val="32"/>
          <w:szCs w:val="32"/>
        </w:rPr>
        <w:tab/>
      </w:r>
      <w:bookmarkStart w:id="2" w:name="_Toc932063034_WPSOffice_Level1Page"/>
      <w:r>
        <w:rPr>
          <w:rFonts w:hint="eastAsia" w:ascii="楷体_GB2312" w:hAnsi="楷体_GB2312" w:eastAsia="楷体_GB2312" w:cs="楷体_GB2312"/>
          <w:b w:val="0"/>
          <w:bCs w:val="0"/>
          <w:sz w:val="32"/>
          <w:szCs w:val="32"/>
        </w:rPr>
        <w:t>1</w:t>
      </w:r>
      <w:bookmarkEnd w:id="2"/>
      <w:r>
        <w:rPr>
          <w:rFonts w:hint="eastAsia" w:ascii="楷体_GB2312" w:hAnsi="楷体_GB2312" w:eastAsia="楷体_GB2312" w:cs="楷体_GB2312"/>
          <w:b w:val="0"/>
          <w:bCs w:val="0"/>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_Toc1463103888_WPSOffice_Level2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（一）有关单位基本情况</w:t>
      </w:r>
      <w:r>
        <w:rPr>
          <w:rFonts w:hint="eastAsia" w:ascii="楷体_GB2312" w:hAnsi="楷体_GB2312" w:eastAsia="楷体_GB2312" w:cs="楷体_GB2312"/>
          <w:sz w:val="32"/>
          <w:szCs w:val="32"/>
        </w:rPr>
        <w:tab/>
      </w:r>
      <w:bookmarkStart w:id="3" w:name="_Toc1463103888_WPSOffice_Level2Page"/>
      <w:r>
        <w:rPr>
          <w:rFonts w:hint="eastAsia" w:ascii="楷体_GB2312" w:hAnsi="楷体_GB2312" w:eastAsia="楷体_GB2312" w:cs="楷体_GB2312"/>
          <w:sz w:val="32"/>
          <w:szCs w:val="32"/>
        </w:rPr>
        <w:t>1</w:t>
      </w:r>
      <w:bookmarkEnd w:id="3"/>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_Toc1942660897_WPSOffice_Level2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（二）事发设备基本情况</w:t>
      </w:r>
      <w:r>
        <w:rPr>
          <w:rFonts w:hint="eastAsia" w:ascii="楷体_GB2312" w:hAnsi="楷体_GB2312" w:eastAsia="楷体_GB2312" w:cs="楷体_GB2312"/>
          <w:sz w:val="32"/>
          <w:szCs w:val="32"/>
        </w:rPr>
        <w:tab/>
      </w:r>
      <w:bookmarkStart w:id="4" w:name="_Toc1942660897_WPSOffice_Level2Page"/>
      <w:r>
        <w:rPr>
          <w:rFonts w:hint="eastAsia" w:ascii="楷体_GB2312" w:hAnsi="楷体_GB2312" w:eastAsia="楷体_GB2312" w:cs="楷体_GB2312"/>
          <w:sz w:val="32"/>
          <w:szCs w:val="32"/>
        </w:rPr>
        <w:t>2</w:t>
      </w:r>
      <w:bookmarkEnd w:id="4"/>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_Toc368130525_WPSOffice_Level2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（三）事发现场情况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_Toc1664730790_WPSOffice_Level1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二、事故经过及应急处置情况</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lang w:val="en-US" w:eastAsia="zh-CN"/>
        </w:rPr>
        <w:t>6</w:t>
      </w:r>
      <w:r>
        <w:rPr>
          <w:rFonts w:hint="eastAsia" w:ascii="楷体_GB2312" w:hAnsi="楷体_GB2312" w:eastAsia="楷体_GB2312" w:cs="楷体_GB2312"/>
          <w:b w:val="0"/>
          <w:bCs w:val="0"/>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_Toc1831302236_WPSOffice_Level2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（一）事故发生经过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_Toc938561357_WPSOffice_Level2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（二）应急处置情况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_Toc1731462822_WPSOffice_Level2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（三）伤亡人员情况</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_Toc245440312_WPSOffice_Level1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三、事故原因和性质</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_Toc920799296_WPSOffice_Level2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（一）事故直接原因</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_Toc1172720864_WPSOffice_Level2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（二）其他可能因素排除</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_Toc734522713_WPSOffice_Level2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（三）事故性质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_Toc182243102_WPSOffice_Level1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四、事故调查中发现的主要问题</w:t>
      </w:r>
      <w:r>
        <w:rPr>
          <w:rFonts w:hint="eastAsia" w:ascii="楷体_GB2312" w:hAnsi="楷体_GB2312" w:eastAsia="楷体_GB2312" w:cs="楷体_GB2312"/>
          <w:b w:val="0"/>
          <w:bCs w:val="0"/>
          <w:sz w:val="32"/>
          <w:szCs w:val="32"/>
        </w:rPr>
        <w:tab/>
      </w:r>
      <w:bookmarkStart w:id="5" w:name="_Toc182243102_WPSOffice_Level1Page"/>
      <w:r>
        <w:rPr>
          <w:rFonts w:hint="eastAsia" w:ascii="楷体_GB2312" w:hAnsi="楷体_GB2312" w:eastAsia="楷体_GB2312" w:cs="楷体_GB2312"/>
          <w:b w:val="0"/>
          <w:bCs w:val="0"/>
          <w:sz w:val="32"/>
          <w:szCs w:val="32"/>
        </w:rPr>
        <w:t>1</w:t>
      </w:r>
      <w:bookmarkEnd w:id="5"/>
      <w:r>
        <w:rPr>
          <w:rFonts w:hint="eastAsia" w:ascii="楷体_GB2312" w:hAnsi="楷体_GB2312" w:eastAsia="楷体_GB2312" w:cs="楷体_GB2312"/>
          <w:b w:val="0"/>
          <w:bCs w:val="0"/>
          <w:sz w:val="32"/>
          <w:szCs w:val="32"/>
          <w:lang w:val="en-US" w:eastAsia="zh-CN"/>
        </w:rPr>
        <w:t>0</w:t>
      </w:r>
      <w:r>
        <w:rPr>
          <w:rFonts w:hint="eastAsia" w:ascii="楷体_GB2312" w:hAnsi="楷体_GB2312" w:eastAsia="楷体_GB2312" w:cs="楷体_GB2312"/>
          <w:b w:val="0"/>
          <w:bCs w:val="0"/>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_Toc63588984_WPSOffice_Level2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（一）未有效统筹生产和安全</w:t>
      </w:r>
      <w:r>
        <w:rPr>
          <w:rFonts w:hint="eastAsia" w:ascii="楷体_GB2312" w:hAnsi="楷体_GB2312" w:eastAsia="楷体_GB2312" w:cs="楷体_GB2312"/>
          <w:sz w:val="32"/>
          <w:szCs w:val="32"/>
        </w:rPr>
        <w:tab/>
      </w:r>
      <w:bookmarkStart w:id="6" w:name="_Toc63588984_WPSOffice_Level2Page"/>
      <w:r>
        <w:rPr>
          <w:rFonts w:hint="eastAsia" w:ascii="楷体_GB2312" w:hAnsi="楷体_GB2312" w:eastAsia="楷体_GB2312" w:cs="楷体_GB2312"/>
          <w:sz w:val="32"/>
          <w:szCs w:val="32"/>
        </w:rPr>
        <w:t>1</w:t>
      </w:r>
      <w:bookmarkEnd w:id="6"/>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_Toc333791715_WPSOffice_Level2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（二）安全检查流于形式</w:t>
      </w:r>
      <w:r>
        <w:rPr>
          <w:rFonts w:hint="eastAsia" w:ascii="楷体_GB2312" w:hAnsi="楷体_GB2312" w:eastAsia="楷体_GB2312" w:cs="楷体_GB2312"/>
          <w:sz w:val="32"/>
          <w:szCs w:val="32"/>
        </w:rPr>
        <w:tab/>
      </w:r>
      <w:bookmarkStart w:id="7" w:name="_Toc333791715_WPSOffice_Level2Page"/>
      <w:r>
        <w:rPr>
          <w:rFonts w:hint="eastAsia" w:ascii="楷体_GB2312" w:hAnsi="楷体_GB2312" w:eastAsia="楷体_GB2312" w:cs="楷体_GB2312"/>
          <w:sz w:val="32"/>
          <w:szCs w:val="32"/>
        </w:rPr>
        <w:t>1</w:t>
      </w:r>
      <w:bookmarkEnd w:id="7"/>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fldChar w:fldCharType="end"/>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_Toc1898577976_WPSOffice_Level2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（三）教育培训质效不高</w:t>
      </w:r>
      <w:r>
        <w:rPr>
          <w:rFonts w:hint="eastAsia" w:ascii="楷体_GB2312" w:hAnsi="楷体_GB2312" w:eastAsia="楷体_GB2312" w:cs="楷体_GB2312"/>
          <w:sz w:val="32"/>
          <w:szCs w:val="32"/>
        </w:rPr>
        <w:tab/>
      </w:r>
      <w:bookmarkStart w:id="8" w:name="_Toc1898577976_WPSOffice_Level2Page"/>
      <w:r>
        <w:rPr>
          <w:rFonts w:hint="eastAsia" w:ascii="楷体_GB2312" w:hAnsi="楷体_GB2312" w:eastAsia="楷体_GB2312" w:cs="楷体_GB2312"/>
          <w:sz w:val="32"/>
          <w:szCs w:val="32"/>
        </w:rPr>
        <w:t>1</w:t>
      </w:r>
      <w:bookmarkEnd w:id="8"/>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_Toc928344223_WPSOffice_Level1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五、对事故有关责任人员处理建议</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en-US" w:eastAsia="zh-CN"/>
        </w:rPr>
        <w:t>1</w:t>
      </w:r>
    </w:p>
    <w:p>
      <w:pPr>
        <w:pStyle w:val="1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\l _Toc1665942379_WPSOffice_Level1 </w:instrText>
      </w:r>
      <w:r>
        <w:rPr>
          <w:rFonts w:hint="eastAsia" w:ascii="楷体_GB2312" w:hAnsi="楷体_GB2312" w:eastAsia="楷体_GB2312" w:cs="楷体_GB2312"/>
          <w:b w:val="0"/>
          <w:bCs w:val="0"/>
          <w:sz w:val="32"/>
          <w:szCs w:val="32"/>
        </w:rPr>
        <w:fldChar w:fldCharType="separate"/>
      </w:r>
      <w:r>
        <w:rPr>
          <w:rFonts w:hint="eastAsia" w:ascii="黑体" w:hAnsi="黑体" w:eastAsia="黑体" w:cs="黑体"/>
          <w:b w:val="0"/>
          <w:bCs w:val="0"/>
          <w:sz w:val="32"/>
          <w:szCs w:val="32"/>
        </w:rPr>
        <w:t>六、事故整改和防范措施建议</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en-US" w:eastAsia="zh-CN"/>
        </w:rPr>
        <w:t>1</w:t>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_Toc658638704_WPSOffice_Level2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（一）统筹做好生产和安全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lang w:val="en-US" w:eastAsia="zh-CN"/>
        </w:rPr>
        <w:t>1</w:t>
      </w:r>
    </w:p>
    <w:p>
      <w:pPr>
        <w:pStyle w:val="1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_Toc1837965287_WPSOffice_Level2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（二）加强安全生产风险防控</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fldChar w:fldCharType="end"/>
      </w:r>
      <w:bookmarkEnd w:id="1"/>
      <w:r>
        <w:rPr>
          <w:rFonts w:hint="eastAsia" w:ascii="楷体_GB2312" w:hAnsi="楷体_GB2312" w:eastAsia="楷体_GB2312" w:cs="楷体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5" w:type="default"/>
          <w:pgSz w:w="11906" w:h="16838"/>
          <w:pgMar w:top="2098" w:right="1474" w:bottom="1984" w:left="1587" w:header="851" w:footer="1588"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大兴</w:t>
      </w:r>
      <w:r>
        <w:rPr>
          <w:rFonts w:hint="eastAsia" w:ascii="仿宋_GB2312" w:hAnsi="仿宋_GB2312" w:eastAsia="仿宋_GB2312" w:cs="仿宋_GB2312"/>
          <w:sz w:val="32"/>
          <w:szCs w:val="32"/>
          <w:lang w:eastAsia="zh-CN"/>
        </w:rPr>
        <w:t>区环境卫生服务中心垃圾转运站内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一名</w:t>
      </w:r>
      <w:r>
        <w:rPr>
          <w:rFonts w:hint="eastAsia" w:ascii="仿宋_GB2312" w:hAnsi="仿宋_GB2312" w:eastAsia="仿宋_GB2312" w:cs="仿宋_GB2312"/>
          <w:sz w:val="32"/>
          <w:szCs w:val="32"/>
        </w:rPr>
        <w:t>工人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倒换垃圾压缩箱作业过程中，被抱钩挤压，致其当场</w:t>
      </w:r>
      <w:r>
        <w:rPr>
          <w:rFonts w:hint="eastAsia" w:ascii="仿宋_GB2312" w:hAnsi="仿宋_GB2312" w:eastAsia="仿宋_GB2312" w:cs="仿宋_GB2312"/>
          <w:sz w:val="32"/>
          <w:szCs w:val="32"/>
        </w:rPr>
        <w:t>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rPr>
        <w:t>根据《中华人民共和国安全生产法》《生产安全事故报告和调查处理条例》</w:t>
      </w:r>
      <w:r>
        <w:rPr>
          <w:rFonts w:hint="eastAsia" w:ascii="仿宋_GB2312" w:hAnsi="仿宋_GB2312" w:eastAsia="仿宋_GB2312" w:cs="仿宋_GB2312"/>
          <w:color w:val="000000"/>
          <w:sz w:val="32"/>
          <w:szCs w:val="32"/>
          <w:lang w:eastAsia="zh-CN"/>
        </w:rPr>
        <w:t>《北京市生产安全事故报告和调查处理办法》</w:t>
      </w:r>
      <w:r>
        <w:rPr>
          <w:rFonts w:hint="eastAsia" w:ascii="仿宋_GB2312" w:hAnsi="仿宋_GB2312" w:eastAsia="仿宋_GB2312" w:cs="仿宋_GB2312"/>
          <w:sz w:val="32"/>
          <w:szCs w:val="32"/>
        </w:rPr>
        <w:t>等有关法律法规的规定，经大兴区政府批复，成立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由区应急局、区人力资源社会保障局、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公安分局、区总工会、</w:t>
      </w:r>
      <w:r>
        <w:rPr>
          <w:rFonts w:hint="eastAsia" w:ascii="仿宋_GB2312" w:hAnsi="仿宋_GB2312" w:eastAsia="仿宋_GB2312" w:cs="仿宋_GB2312"/>
          <w:sz w:val="32"/>
          <w:szCs w:val="32"/>
          <w:lang w:eastAsia="zh-CN"/>
        </w:rPr>
        <w:t>区城市管理</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魏善庄</w:t>
      </w:r>
      <w:r>
        <w:rPr>
          <w:rFonts w:hint="eastAsia" w:ascii="仿宋_GB2312" w:hAnsi="仿宋_GB2312" w:eastAsia="仿宋_GB2312" w:cs="仿宋_GB2312"/>
          <w:sz w:val="32"/>
          <w:szCs w:val="32"/>
        </w:rPr>
        <w:t>镇组成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”事故调查组，并依法邀请区纪委区监委列席参加</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事故调查组按照“科学严谨、依法依规、实事求是、注重实效”和“四不放过”的原则，开展了事故调查工作，认定了事故性质，提出了对有关责任人员的处理建议和事故整改防范措施</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9" w:name="_Toc932063034_WPSOffice_Level1"/>
      <w:r>
        <w:rPr>
          <w:rFonts w:hint="eastAsia" w:ascii="黑体" w:hAnsi="黑体" w:eastAsia="黑体" w:cs="黑体"/>
          <w:color w:val="000000"/>
          <w:sz w:val="32"/>
          <w:szCs w:val="32"/>
        </w:rPr>
        <w:t>一、基本情况</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sz w:val="32"/>
          <w:szCs w:val="32"/>
        </w:rPr>
      </w:pPr>
      <w:bookmarkStart w:id="10" w:name="_Toc1463103888_WPSOffice_Level2"/>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）有关单位基本情况</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事发作业</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sz w:val="32"/>
          <w:szCs w:val="32"/>
        </w:rPr>
        <w:t>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大兴</w:t>
      </w:r>
      <w:r>
        <w:rPr>
          <w:rFonts w:hint="eastAsia" w:ascii="仿宋_GB2312" w:hAnsi="仿宋_GB2312" w:eastAsia="仿宋_GB2312" w:cs="仿宋_GB2312"/>
          <w:sz w:val="32"/>
          <w:szCs w:val="32"/>
          <w:lang w:eastAsia="zh-CN"/>
        </w:rPr>
        <w:t>区环境卫生服务中心垃圾转运站</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转运站</w:t>
      </w:r>
      <w:r>
        <w:rPr>
          <w:rFonts w:hint="eastAsia" w:ascii="仿宋_GB2312" w:hAnsi="仿宋_GB2312" w:eastAsia="仿宋_GB2312" w:cs="仿宋_GB2312"/>
          <w:color w:val="000000"/>
          <w:sz w:val="32"/>
          <w:szCs w:val="32"/>
        </w:rPr>
        <w:t>）。该</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成立于</w:t>
      </w:r>
      <w:r>
        <w:rPr>
          <w:rFonts w:hint="eastAsia" w:ascii="仿宋_GB2312" w:hAnsi="仿宋_GB2312" w:eastAsia="仿宋_GB2312" w:cs="仿宋_GB2312"/>
          <w:color w:val="000000"/>
          <w:sz w:val="32"/>
          <w:szCs w:val="32"/>
          <w:lang w:val="en-US" w:eastAsia="zh-CN"/>
        </w:rPr>
        <w:t>2011</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月（京兴编办</w:t>
      </w:r>
      <w:r>
        <w:rPr>
          <w:rFonts w:hint="eastAsia" w:ascii="仿宋_GB2312" w:hAnsi="仿宋_GB2312" w:eastAsia="仿宋_GB2312" w:cs="仿宋_GB2312"/>
          <w:color w:val="000000"/>
          <w:sz w:val="32"/>
          <w:szCs w:val="32"/>
          <w:lang w:val="en-US" w:eastAsia="zh-CN"/>
        </w:rPr>
        <w:t>〔2011〕107号）</w:t>
      </w:r>
      <w:r>
        <w:rPr>
          <w:rFonts w:hint="eastAsia" w:ascii="仿宋_GB2312" w:hAnsi="仿宋_GB2312" w:eastAsia="仿宋_GB2312" w:cs="仿宋_GB2312"/>
          <w:color w:val="000000"/>
          <w:sz w:val="32"/>
          <w:szCs w:val="32"/>
        </w:rPr>
        <w:t>，住所在</w:t>
      </w:r>
      <w:r>
        <w:rPr>
          <w:rFonts w:hint="eastAsia" w:ascii="仿宋_GB2312" w:hAnsi="仿宋_GB2312" w:eastAsia="仿宋_GB2312" w:cs="仿宋_GB2312"/>
          <w:color w:val="000000"/>
          <w:sz w:val="32"/>
          <w:szCs w:val="32"/>
          <w:lang w:eastAsia="zh-CN"/>
        </w:rPr>
        <w:t>北京市大兴区魏善庄兴隆庄兴隆街北二条临二号</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王彦东，经费来源为财政补助，宗旨和业务</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eastAsia="zh-CN"/>
        </w:rPr>
        <w:t>：负责服务范围内生活垃圾的分类、回收、减量化处理；保证生活垃圾分选、转运过程中无环境污染等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转运站</w:t>
      </w:r>
      <w:r>
        <w:rPr>
          <w:rFonts w:hint="eastAsia" w:ascii="仿宋_GB2312" w:hAnsi="仿宋_GB2312" w:eastAsia="仿宋_GB2312" w:cs="仿宋_GB2312"/>
          <w:color w:val="000000"/>
          <w:sz w:val="32"/>
          <w:szCs w:val="32"/>
          <w:lang w:val="en-US" w:eastAsia="zh-CN"/>
        </w:rPr>
        <w:t>为大兴区环境卫生服务中心（以下简称环卫中心）所属公益一类</w:t>
      </w:r>
      <w:r>
        <w:rPr>
          <w:rStyle w:val="11"/>
          <w:rFonts w:hint="eastAsia" w:ascii="仿宋_GB2312" w:hAnsi="仿宋_GB2312" w:eastAsia="仿宋_GB2312" w:cs="仿宋_GB2312"/>
          <w:color w:val="auto"/>
          <w:sz w:val="32"/>
          <w:szCs w:val="32"/>
          <w:lang w:val="en-US" w:eastAsia="zh-CN"/>
        </w:rPr>
        <w:t>[</w:t>
      </w:r>
      <w:r>
        <w:rPr>
          <w:rStyle w:val="11"/>
          <w:rFonts w:hint="eastAsia" w:ascii="仿宋_GB2312" w:hAnsi="仿宋_GB2312" w:eastAsia="仿宋_GB2312" w:cs="仿宋_GB2312"/>
          <w:color w:val="auto"/>
          <w:sz w:val="32"/>
          <w:szCs w:val="32"/>
          <w:lang w:val="en-US" w:eastAsia="zh-CN"/>
        </w:rPr>
        <w:footnoteReference w:id="0"/>
      </w:r>
      <w:r>
        <w:rPr>
          <w:rStyle w:val="11"/>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正科级事业单位</w:t>
      </w:r>
      <w:r>
        <w:rPr>
          <w:rFonts w:hint="eastAsia" w:ascii="仿宋_GB2312" w:hAnsi="仿宋_GB2312" w:eastAsia="仿宋_GB2312" w:cs="仿宋_GB2312"/>
          <w:color w:val="000000"/>
          <w:sz w:val="32"/>
          <w:szCs w:val="32"/>
          <w:lang w:eastAsia="zh-CN"/>
        </w:rPr>
        <w:t>。核定事业编制</w:t>
      </w:r>
      <w:r>
        <w:rPr>
          <w:rFonts w:hint="eastAsia" w:ascii="仿宋_GB2312" w:hAnsi="仿宋_GB2312" w:eastAsia="仿宋_GB2312" w:cs="仿宋_GB2312"/>
          <w:color w:val="000000"/>
          <w:sz w:val="32"/>
          <w:szCs w:val="32"/>
          <w:lang w:val="en-US" w:eastAsia="zh-CN"/>
        </w:rPr>
        <w:t>24名，其中科级领导职数1正2副。现有职工263人，其中正式职工28人，临辅用工235人。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转运站占地面积21400平方米，转运车间、办公楼等建筑面积7690平方米，主要负责大兴新城、部分乡镇小区生活垃圾分选、转运，日转运生活垃圾约600吨。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事发工人劳务单位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北京兴宾通人力资源管理有限公司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兴宾通</w:t>
      </w:r>
      <w:r>
        <w:rPr>
          <w:rFonts w:hint="eastAsia" w:ascii="仿宋_GB2312" w:hAnsi="仿宋_GB2312" w:eastAsia="仿宋_GB2312" w:cs="仿宋_GB2312"/>
          <w:color w:val="000000"/>
          <w:sz w:val="32"/>
          <w:szCs w:val="32"/>
        </w:rPr>
        <w:t>公司）。该公司成立于</w:t>
      </w:r>
      <w:r>
        <w:rPr>
          <w:rFonts w:hint="eastAsia" w:ascii="仿宋_GB2312" w:hAnsi="仿宋_GB2312" w:eastAsia="仿宋_GB2312" w:cs="仿宋_GB2312"/>
          <w:color w:val="000000"/>
          <w:sz w:val="32"/>
          <w:szCs w:val="32"/>
          <w:lang w:val="en-US" w:eastAsia="zh-CN"/>
        </w:rPr>
        <w:t>2017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日，住所在北京市大兴区三中巷18号一层112室，法定代表人</w:t>
      </w:r>
      <w:r>
        <w:rPr>
          <w:rFonts w:hint="eastAsia" w:ascii="仿宋_GB2312" w:hAnsi="仿宋_GB2312" w:eastAsia="仿宋_GB2312" w:cs="仿宋_GB2312"/>
          <w:color w:val="000000"/>
          <w:sz w:val="32"/>
          <w:szCs w:val="32"/>
          <w:lang w:eastAsia="zh-CN"/>
        </w:rPr>
        <w:t>曹莹</w:t>
      </w:r>
      <w:r>
        <w:rPr>
          <w:rFonts w:hint="eastAsia" w:ascii="仿宋_GB2312" w:hAnsi="仿宋_GB2312" w:eastAsia="仿宋_GB2312" w:cs="仿宋_GB2312"/>
          <w:color w:val="000000"/>
          <w:sz w:val="32"/>
          <w:szCs w:val="32"/>
        </w:rPr>
        <w:t>。主要经营范围包括人力资源服务等。</w:t>
      </w:r>
      <w:r>
        <w:rPr>
          <w:rFonts w:hint="eastAsia" w:ascii="仿宋_GB2312" w:hAnsi="仿宋_GB2312" w:eastAsia="仿宋_GB2312" w:cs="仿宋_GB2312"/>
          <w:color w:val="000000"/>
          <w:sz w:val="32"/>
          <w:szCs w:val="32"/>
          <w:lang w:eastAsia="zh-CN"/>
        </w:rPr>
        <w:t>已取得劳务派遣经营许可</w:t>
      </w:r>
      <w:r>
        <w:rPr>
          <w:rFonts w:hint="eastAsia" w:ascii="仿宋_GB2312" w:hAnsi="仿宋_GB2312" w:eastAsia="仿宋_GB2312" w:cs="仿宋_GB2312"/>
          <w:color w:val="000000"/>
          <w:sz w:val="32"/>
          <w:szCs w:val="32"/>
        </w:rPr>
        <w:t>，编号</w:t>
      </w:r>
      <w:r>
        <w:rPr>
          <w:rFonts w:hint="eastAsia" w:ascii="仿宋_GB2312" w:hAnsi="仿宋_GB2312" w:eastAsia="仿宋_GB2312" w:cs="仿宋_GB2312"/>
          <w:color w:val="000000"/>
          <w:sz w:val="32"/>
          <w:szCs w:val="32"/>
          <w:lang w:eastAsia="zh-CN"/>
        </w:rPr>
        <w:t>：京劳派</w:t>
      </w:r>
      <w:r>
        <w:rPr>
          <w:rFonts w:hint="eastAsia" w:ascii="仿宋_GB2312" w:hAnsi="仿宋_GB2312" w:eastAsia="仿宋_GB2312" w:cs="仿宋_GB2312"/>
          <w:color w:val="000000"/>
          <w:sz w:val="32"/>
          <w:szCs w:val="32"/>
          <w:lang w:val="en-US" w:eastAsia="zh-CN"/>
        </w:rPr>
        <w:t>1150112B202405306622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有效期</w:t>
      </w:r>
      <w:r>
        <w:rPr>
          <w:rFonts w:hint="eastAsia" w:ascii="仿宋_GB2312" w:hAnsi="仿宋_GB2312" w:eastAsia="仿宋_GB2312" w:cs="仿宋_GB2312"/>
          <w:color w:val="000000"/>
          <w:sz w:val="32"/>
          <w:szCs w:val="32"/>
          <w:lang w:eastAsia="zh-CN"/>
        </w:rPr>
        <w:t>自</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日至202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兴宾通</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为环卫中心劳务用工派遣服务单位，双方于</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日，签订了《劳务派遣协议书》，兴宾通</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根据合同约定向环卫中心派遣行政技能辅助用工、一般辅助用工。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bookmarkStart w:id="11" w:name="_Toc1942660897_WPSOffice_Level2"/>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事发设备基本</w:t>
      </w:r>
      <w:r>
        <w:rPr>
          <w:rFonts w:hint="eastAsia" w:ascii="楷体_GB2312" w:hAnsi="楷体_GB2312" w:eastAsia="楷体_GB2312" w:cs="楷体_GB2312"/>
          <w:color w:val="auto"/>
          <w:sz w:val="32"/>
          <w:szCs w:val="32"/>
        </w:rPr>
        <w:t>情况</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1.事发设备历史沿革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装置为抱钩，其是转运站设备末端双线改造（二期）项目装置之一（见图1）。转运站原有2套垃圾分选设备，为组合并联安装。由于设备老化频繁出现故障，出现单一设备故障导致2套设备整体停运，严重影响转运站正常运转，不能满足市民生活垃圾处理的需求。为解决此问题，2019年环卫中心进行设备末端双线改造。环卫中心通过公开招投标确定了河南威猛振动设备股份有限公司为设备供应商，并于2019年7月24日签订了《转运设备末端改造（二期）采购合同》。</w:t>
      </w:r>
    </w:p>
    <w:p>
      <w:pPr>
        <w:pStyle w:val="2"/>
        <w:ind w:left="0" w:leftChars="0" w:firstLine="0" w:firstLineChars="0"/>
        <w:rPr>
          <w:rFonts w:hint="eastAsia"/>
          <w:lang w:val="en-US" w:eastAsia="zh-CN"/>
        </w:rPr>
      </w:pPr>
      <w:r>
        <w:rPr>
          <w:rFonts w:hint="eastAsia"/>
          <w:lang w:val="en-US" w:eastAsia="zh-CN"/>
        </w:rPr>
        <w:drawing>
          <wp:inline distT="0" distB="0" distL="114300" distR="114300">
            <wp:extent cx="5610225" cy="3700145"/>
            <wp:effectExtent l="0" t="0" r="13335" b="3175"/>
            <wp:docPr id="17" name="图片 13" descr="末端示意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3" descr="末端示意图"/>
                    <pic:cNvPicPr>
                      <a:picLocks noChangeAspect="true"/>
                    </pic:cNvPicPr>
                  </pic:nvPicPr>
                  <pic:blipFill>
                    <a:blip r:embed="rId8"/>
                    <a:stretch>
                      <a:fillRect/>
                    </a:stretch>
                  </pic:blipFill>
                  <pic:spPr>
                    <a:xfrm>
                      <a:off x="0" y="0"/>
                      <a:ext cx="5610225" cy="37001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图1末端设备示意图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2.末端设备作业流程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4707255</wp:posOffset>
                </wp:positionH>
                <wp:positionV relativeFrom="paragraph">
                  <wp:posOffset>1266825</wp:posOffset>
                </wp:positionV>
                <wp:extent cx="238760" cy="6985"/>
                <wp:effectExtent l="0" t="46355" r="5080" b="53340"/>
                <wp:wrapNone/>
                <wp:docPr id="5" name="直线 18"/>
                <wp:cNvGraphicFramePr/>
                <a:graphic xmlns:a="http://schemas.openxmlformats.org/drawingml/2006/main">
                  <a:graphicData uri="http://schemas.microsoft.com/office/word/2010/wordprocessingShape">
                    <wps:wsp>
                      <wps:cNvCnPr/>
                      <wps:spPr>
                        <a:xfrm flipV="true">
                          <a:off x="0" y="0"/>
                          <a:ext cx="238760" cy="6985"/>
                        </a:xfrm>
                        <a:prstGeom prst="line">
                          <a:avLst/>
                        </a:prstGeom>
                        <a:ln w="3175" cap="flat" cmpd="sng">
                          <a:solidFill>
                            <a:srgbClr val="000000"/>
                          </a:solidFill>
                          <a:prstDash val="solid"/>
                          <a:headEnd type="none" w="med" len="med"/>
                          <a:tailEnd type="arrow" w="med" len="med"/>
                        </a:ln>
                      </wps:spPr>
                      <wps:bodyPr upright="true"/>
                    </wps:wsp>
                  </a:graphicData>
                </a:graphic>
              </wp:anchor>
            </w:drawing>
          </mc:Choice>
          <mc:Fallback>
            <w:pict>
              <v:line id="直线 18" o:spid="_x0000_s1026" o:spt="20" style="position:absolute;left:0pt;flip:y;margin-left:370.65pt;margin-top:99.75pt;height:0.55pt;width:18.8pt;z-index:251663360;mso-width-relative:page;mso-height-relative:page;" filled="f" stroked="t" coordsize="21600,21600" o:gfxdata="UEsFBgAAAAAAAAAAAAAAAAAAAAAAAFBLAwQKAAAAAACHTuJAAAAAAAAAAAAAAAAABAAAAGRycy9Q&#10;SwMEFAAAAAgAh07iQLwFGQnXAAAACwEAAA8AAABkcnMvZG93bnJldi54bWxNj8FOwzAQRO9I/IO1&#10;SNyok7aQOsSpBCpwLQX17MTbJMJeR7GbBL4e9wTH1TzNvC22szVsxMF3jiSkiwQYUu10R42Ez4+X&#10;uw0wHxRpZRyhhG/0sC2vrwqVazfRO46H0LBYQj5XEtoQ+pxzX7dolV+4HilmJzdYFeI5NFwPaorl&#10;1vBlkjxwqzqKC63q8bnF+utwthJW62m3G5+qFIX5md2beKX9cSnl7U2aPAILOIc/GC76UR3K6FS5&#10;M2nPjIRsna4iGgMh7oFFIss2Algl4TIMvCz4/x/KX1BLAwQUAAAACACHTuJAfihPkd8BAAChAwAA&#10;DgAAAGRycy9lMm9Eb2MueG1srVNLjhMxFNwjcQfLe9JJRpMJrXRmMWHYIIjEZ/9iu7st+adnJ52c&#10;hWuwYsNx5ho8u0MGZlghemHZfuVyVfn16vZoDTsojNq7hs8mU86UE15q1zX886f7V0vOYgInwXin&#10;Gn5Skd+uX75YDaFWc997IxUyInGxHkLD+5RCXVVR9MpCnPigHBVbjxYSLbGrJMJA7NZU8+l0UQ0e&#10;ZUAvVIy0uxmLfF3421aJ9KFto0rMNJy0pTJiGXd5rNYrqDuE0GtxlgH/oMKCdnTphWoDCdge9TMq&#10;qwX66Ns0Ed5Wvm21UMUDuZlNn7j52ENQxQuFE8Mlpvj/aMX7wxaZlg2/5syBpSd6+Prt4fsPNlvm&#10;cIYQa8LcuS2eVzFsMTs9tmhZa3T40vCE+6wTajLEjiXd0yVddUxM0Ob8anmzoDcQVFq8Xl5n+mrk&#10;yUcDxvRWecvypOFGu5ESDu9iGqG/IBluHBsafjW7Id0CqHNaA4mmNpCX6LoiJ3qj5b02Jp+I2O3u&#10;DLID5F4o31nCH7B8yQZiP+JKKcOg7hXIN06ydAqUkqN25lmCVZIzo6j786wgE2jziAREP/wdSvaN&#10;oxRyymOuebbz8kSPsg+ou56iKOnmBHKR+qDEdu7Z3Gi/rwvq8c9a/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8BRkJ1wAAAAsBAAAPAAAAAAAAAAEAIAAAADgAAABkcnMvZG93bnJldi54bWxQSwEC&#10;FAAUAAAACACHTuJAfihPkd8BAAChAwAADgAAAAAAAAABACAAAAA8AQAAZHJzL2Uyb0RvYy54bWxQ&#10;SwUGAAAAAAYABgBZAQAAjQUAAAAA&#10;">
                <v:fill on="f" focussize="0,0"/>
                <v:stroke weight="0.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1250950</wp:posOffset>
                </wp:positionH>
                <wp:positionV relativeFrom="paragraph">
                  <wp:posOffset>920750</wp:posOffset>
                </wp:positionV>
                <wp:extent cx="230505" cy="635"/>
                <wp:effectExtent l="0" t="48895" r="13335" b="57150"/>
                <wp:wrapNone/>
                <wp:docPr id="3" name="直线 19"/>
                <wp:cNvGraphicFramePr/>
                <a:graphic xmlns:a="http://schemas.openxmlformats.org/drawingml/2006/main">
                  <a:graphicData uri="http://schemas.microsoft.com/office/word/2010/wordprocessingShape">
                    <wps:wsp>
                      <wps:cNvCnPr/>
                      <wps:spPr>
                        <a:xfrm>
                          <a:off x="0" y="0"/>
                          <a:ext cx="230505" cy="635"/>
                        </a:xfrm>
                        <a:prstGeom prst="line">
                          <a:avLst/>
                        </a:prstGeom>
                        <a:ln w="3175" cap="flat" cmpd="sng">
                          <a:solidFill>
                            <a:srgbClr val="000000"/>
                          </a:solidFill>
                          <a:prstDash val="solid"/>
                          <a:headEnd type="none" w="med" len="med"/>
                          <a:tailEnd type="arrow" w="med" len="med"/>
                        </a:ln>
                      </wps:spPr>
                      <wps:bodyPr upright="true"/>
                    </wps:wsp>
                  </a:graphicData>
                </a:graphic>
              </wp:anchor>
            </w:drawing>
          </mc:Choice>
          <mc:Fallback>
            <w:pict>
              <v:line id="直线 19" o:spid="_x0000_s1026" o:spt="20" style="position:absolute;left:0pt;margin-left:98.5pt;margin-top:72.5pt;height:0.05pt;width:18.15pt;z-index:251661312;mso-width-relative:page;mso-height-relative:page;" filled="f" stroked="t" coordsize="21600,21600" o:gfxdata="UEsFBgAAAAAAAAAAAAAAAAAAAAAAAFBLAwQKAAAAAACHTuJAAAAAAAAAAAAAAAAABAAAAGRycy9Q&#10;SwMEFAAAAAgAh07iQGKklALXAAAACwEAAA8AAABkcnMvZG93bnJldi54bWxNT7tOw0AQ7JH4h9Mi&#10;0ZGzYx6J8TkFUhRRUCShSXf2bWwr3j3Ld3nx9Sw00M3sjGZnisWFenXCMXSeDaSTBBRy7V3HjYHP&#10;7fJhBipEy872ntHAFQMsytubwubOn3mNp01slIRwyK2BNsYh1zrULZINEz8gi7b3I9kodGy0G+1Z&#10;wqnX0yR51mQ7lg+tHfCtxfqwOZKBL6r2abXa0W5Fy/cDbd06Xj+Mub9Lk1dQES/xzww/9aU6lNKp&#10;8kd2QfXC5y+yJQp4fBIgjmmWZaCq30sKuiz0/w3lN1BLAwQUAAAACACHTuJAR3AO/dQBAACTAwAA&#10;DgAAAGRycy9lMm9Eb2MueG1srVPNjtMwEL4j8Q6W7zRpqy4QNd3DluWCoBLLA0xtJ7HkP43dpn0W&#10;XoMTFx5nX4OxW1pg94TIwRl7Pn/55pvJ8vZgDdsrjNq7lk8nNWfKCS+161v+5eH+1RvOYgInwXin&#10;Wn5Ukd+uXr5YjqFRMz94IxUyInGxGUPLh5RCU1VRDMpCnPigHCU7jxYSbbGvJMJI7NZUs7q+qUaP&#10;MqAXKkY6XZ+SfFX4u06J9KnrokrMtJy0pbJiWbd5rVZLaHqEMGhxlgH/oMKCdvTRC9UaErAd6idU&#10;Vgv00XdpIrytfNdpoUoNVM20/quazwMEVWohc2K42BT/H634uN8g07Llc84cWGrR49dvj99/sOnb&#10;bM4YYkOYO7fB8y6GDeZKDx3a/KYa2KEYerwYqg6JCTqczetFveBMUOpmvsiE1fVmwJjeK29ZDlpu&#10;tMvFQgP7DzGdoL8g+dg4NpLM6etMCDQrnYFEoQ2kPrq+3I3eaHmvjck3IvbbO4NsD7n75TlL+AOW&#10;P7KGOJxwJZVh0AwK5DsnWToG8sXRAPMswSrJmVE07zkqyATaXJGA6MfnoVS+ceRC9vXkZI62Xh6p&#10;DbuAuh/IioQ7VZTmJHW+2Hae0jxav+8L2fVfWv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YqSU&#10;AtcAAAALAQAADwAAAAAAAAABACAAAAA4AAAAZHJzL2Rvd25yZXYueG1sUEsBAhQAFAAAAAgAh07i&#10;QEdwDv3UAQAAkwMAAA4AAAAAAAAAAQAgAAAAPAEAAGRycy9lMm9Eb2MueG1sUEsFBgAAAAAGAAYA&#10;WQEAAIIFAAAAAA==&#10;">
                <v:fill on="f" focussize="0,0"/>
                <v:stroke weight="0.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5150485</wp:posOffset>
                </wp:positionH>
                <wp:positionV relativeFrom="paragraph">
                  <wp:posOffset>906780</wp:posOffset>
                </wp:positionV>
                <wp:extent cx="246380" cy="6985"/>
                <wp:effectExtent l="0" t="46990" r="12700" b="52705"/>
                <wp:wrapNone/>
                <wp:docPr id="4" name="直线 20"/>
                <wp:cNvGraphicFramePr/>
                <a:graphic xmlns:a="http://schemas.openxmlformats.org/drawingml/2006/main">
                  <a:graphicData uri="http://schemas.microsoft.com/office/word/2010/wordprocessingShape">
                    <wps:wsp>
                      <wps:cNvCnPr/>
                      <wps:spPr>
                        <a:xfrm flipV="true">
                          <a:off x="0" y="0"/>
                          <a:ext cx="246380" cy="6985"/>
                        </a:xfrm>
                        <a:prstGeom prst="line">
                          <a:avLst/>
                        </a:prstGeom>
                        <a:ln w="3175" cap="flat" cmpd="sng">
                          <a:solidFill>
                            <a:srgbClr val="000000"/>
                          </a:solidFill>
                          <a:prstDash val="solid"/>
                          <a:headEnd type="none" w="med" len="med"/>
                          <a:tailEnd type="arrow" w="med" len="med"/>
                        </a:ln>
                      </wps:spPr>
                      <wps:bodyPr upright="true"/>
                    </wps:wsp>
                  </a:graphicData>
                </a:graphic>
              </wp:anchor>
            </w:drawing>
          </mc:Choice>
          <mc:Fallback>
            <w:pict>
              <v:line id="直线 20" o:spid="_x0000_s1026" o:spt="20" style="position:absolute;left:0pt;flip:y;margin-left:405.55pt;margin-top:71.4pt;height:0.55pt;width:19.4pt;z-index:251662336;mso-width-relative:page;mso-height-relative:page;" filled="f" stroked="t" coordsize="21600,21600" o:gfxdata="UEsFBgAAAAAAAAAAAAAAAAAAAAAAAFBLAwQKAAAAAACHTuJAAAAAAAAAAAAAAAAABAAAAGRycy9Q&#10;SwMEFAAAAAgAh07iQEfxY0fWAAAACwEAAA8AAABkcnMvZG93bnJldi54bWxNj0FPhDAQhe8m/odm&#10;TLy5pSwxwFI20ax61dV4LjALRDoltAvor3f2pMd578ub94r9agcx4+R7RxrUJgKBVLump1bDx/vT&#10;XQrCB0ONGRyhhm/0sC+vrwqTN26hN5yPoRUcQj43GroQxlxKX3dojd+4EYm9k5usCXxOrWwms3C4&#10;HWQcRffSmp74Q2dGfOyw/jqerYZtshwO80OlMBt+VveSPdPrZ6z17Y2KdiACruEPhkt9rg4ld6rc&#10;mRovBg2pUopRNpKYNzCRJlkGoroo2wxkWcj/G8pfUEsDBBQAAAAIAIdO4kDnshpU3gEAAKEDAAAO&#10;AAAAZHJzL2Uyb0RvYy54bWytU0uOEzEU3CNxB8t70klmJoRWOrOYMGwQjDTA/sVtd1vyT89OOjkL&#10;12DFhuPMNXh2h4TfCtELy/Yrl1+Vq1e3B2vYXmLU3jV8NplyJp3wrXZdwz9+uH+x5CwmcC0Y72TD&#10;jzLy2/XzZ6sh1HLue29aiYxIXKyH0PA+pVBXVRS9tBAnPkhHReXRQqIldlWLMBC7NdV8Ol1Ug8c2&#10;oBcyRtrdjEW+LvxKSZHeKxVlYqbh1FsqI5Zxm8dqvYK6Qwi9Fqc24B+6sKAdXXqm2kACtkP9B5XV&#10;An30Kk2Et5VXSgtZNJCa2fQ3NY89BFm0kDkxnG2K/49WvNs/INNtw685c2DpiZ4+f3n6+o3NizlD&#10;iDVh7twDklV5FcMDZqUHhZYpo8Onhifc5T6hJkHsUNw9nt2Vh8QEbc6vF1dLegNBpcWr5U32vhp5&#10;8tGAMb2R3rI8abjRbqSE/duYRugPSIYbx4aGX81e3hAjUHKUgURTG0hLdF1pJ3qj23ttTD4Rsdve&#10;GWR7yFko36mFX2D5kg3EfsSV0piSXkL72rUsHQO55CjOPLdgZcuZkZT+PCt5SqDNBQmIfvg7lOQb&#10;Ry5cfM2zrW+P9Ci7gLrryYribnYgFykHxbZTZnPQfl4X1OXPWn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FjR9YAAAALAQAADwAAAAAAAAABACAAAAA4AAAAZHJzL2Rvd25yZXYueG1sUEsBAhQA&#10;FAAAAAgAh07iQOeyGlTeAQAAoQMAAA4AAAAAAAAAAQAgAAAAOwEAAGRycy9lMm9Eb2MueG1sUEsF&#10;BgAAAAAGAAYAWQEAAIsFAAAAAA==&#10;">
                <v:fill on="f" focussize="0,0"/>
                <v:stroke weight="0.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593090</wp:posOffset>
                </wp:positionV>
                <wp:extent cx="230505" cy="635"/>
                <wp:effectExtent l="0" t="48895" r="13335" b="57150"/>
                <wp:wrapNone/>
                <wp:docPr id="2" name="直线 21"/>
                <wp:cNvGraphicFramePr/>
                <a:graphic xmlns:a="http://schemas.openxmlformats.org/drawingml/2006/main">
                  <a:graphicData uri="http://schemas.microsoft.com/office/word/2010/wordprocessingShape">
                    <wps:wsp>
                      <wps:cNvCnPr/>
                      <wps:spPr>
                        <a:xfrm>
                          <a:off x="0" y="0"/>
                          <a:ext cx="230505" cy="635"/>
                        </a:xfrm>
                        <a:prstGeom prst="line">
                          <a:avLst/>
                        </a:prstGeom>
                        <a:ln w="3175" cap="flat" cmpd="sng">
                          <a:solidFill>
                            <a:srgbClr val="000000"/>
                          </a:solidFill>
                          <a:prstDash val="solid"/>
                          <a:headEnd type="none" w="med" len="med"/>
                          <a:tailEnd type="arrow" w="med" len="med"/>
                        </a:ln>
                      </wps:spPr>
                      <wps:bodyPr upright="true"/>
                    </wps:wsp>
                  </a:graphicData>
                </a:graphic>
              </wp:anchor>
            </w:drawing>
          </mc:Choice>
          <mc:Fallback>
            <w:pict>
              <v:line id="直线 21" o:spid="_x0000_s1026" o:spt="20" style="position:absolute;left:0pt;margin-left:324pt;margin-top:46.7pt;height:0.05pt;width:18.15pt;z-index:251660288;mso-width-relative:page;mso-height-relative:page;" filled="f" stroked="t" coordsize="21600,21600" o:gfxdata="UEsFBgAAAAAAAAAAAAAAAAAAAAAAAFBLAwQKAAAAAACHTuJAAAAAAAAAAAAAAAAABAAAAGRycy9Q&#10;SwMEFAAAAAgAh07iQKJCX3DZAAAACQEAAA8AAABkcnMvZG93bnJldi54bWxNjztvg0AQhPtI+Q+n&#10;jZQuPogJwpjDRSTLSuHCj8bdwa0Bmd1D3PmVX59z5ZSzM5r9pljcqBcXHF1nWUE8iUAg19Z03CjY&#10;75YfGQjnNRvdW0YFd3SwKF9fCp0be+UNXra+EaGEXa4VtN4PuZSubpG0m9gBOXhHO5L2QY6NNKO+&#10;hnLq5WcUpZJ0x+FDqwf8brE+bc+k4JeqY1ytDnRY0fLnRDuz8fe1Uu9vcTQH4fHmn2F44Ad0KANT&#10;Zc9snOgVpEkWtngFs2kCIgTSLJmCqB6HL5BlIf8vKP8AUEsDBBQAAAAIAIdO4kDsoCWQ0wEAAJMD&#10;AAAOAAAAZHJzL2Uyb0RvYy54bWytU8uu0zAQ3SPxD5b3NGmqXlDU9C5uuWwQVAI+YGo7iSW/NHab&#10;9lv4DVZs+Jz7G4zd0vJaIbJwxp7jkzlnJqv7ozXsoDBq7zo+n9WcKSe81G7o+KePjy9ecRYTOAnG&#10;O9Xxk4r8fv382WoKrWr86I1UyIjExXYKHR9TCm1VRTEqC3Hmg3KU7D1aSLTFoZIIE7FbUzV1fVdN&#10;HmVAL1SMdLo5J/m68Pe9Eul930eVmOk41ZbKimXd5bVar6AdEMKoxaUM+IcqLGhHH71SbSAB26P+&#10;g8pqgT76Ps2Et5Xvey1U0UBq5vVvaj6MEFTRQubEcLUp/j9a8e6wRaZlxxvOHFhq0dPnL09fv7Fm&#10;ns2ZQmwJ8+C2eNnFsMWs9NijzW/SwI7F0NPVUHVMTNBhs6iX9ZIzQam7xTITVrebAWN6o7xlOei4&#10;0S6LhRYOb2M6Q39A8rFxbOr4Yv4yEwLNSm8gUWgDVR/dUO5Gb7R81MbkGxGH3YNBdoDc/fJcSvgF&#10;lj+ygTiecSWVYdCOCuRrJ1k6BfLF0QDzXIJVkjOjaN5zVJAJtLkhAdFPf4eSfOPIhezr2ckc7bw8&#10;URv2AfUwkhUJ96pUmpPU+WLbZUrzaP28L2S3f2n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JC&#10;X3DZAAAACQEAAA8AAAAAAAAAAQAgAAAAOAAAAGRycy9kb3ducmV2LnhtbFBLAQIUABQAAAAIAIdO&#10;4kDsoCWQ0wEAAJMDAAAOAAAAAAAAAAEAIAAAAD4BAABkcnMvZTJvRG9jLnhtbFBLBQYAAAAABgAG&#10;AFkBAACDBQAAAAA=&#10;">
                <v:fill on="f" focussize="0,0"/>
                <v:stroke weight="0.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3502660</wp:posOffset>
                </wp:positionH>
                <wp:positionV relativeFrom="paragraph">
                  <wp:posOffset>211455</wp:posOffset>
                </wp:positionV>
                <wp:extent cx="230505" cy="635"/>
                <wp:effectExtent l="0" t="48895" r="13335" b="57150"/>
                <wp:wrapNone/>
                <wp:docPr id="1" name="直线 22"/>
                <wp:cNvGraphicFramePr/>
                <a:graphic xmlns:a="http://schemas.openxmlformats.org/drawingml/2006/main">
                  <a:graphicData uri="http://schemas.microsoft.com/office/word/2010/wordprocessingShape">
                    <wps:wsp>
                      <wps:cNvCnPr/>
                      <wps:spPr>
                        <a:xfrm>
                          <a:off x="0" y="0"/>
                          <a:ext cx="230505" cy="635"/>
                        </a:xfrm>
                        <a:prstGeom prst="line">
                          <a:avLst/>
                        </a:prstGeom>
                        <a:ln w="3175" cap="flat" cmpd="sng">
                          <a:solidFill>
                            <a:srgbClr val="000000"/>
                          </a:solidFill>
                          <a:prstDash val="solid"/>
                          <a:headEnd type="none" w="med" len="med"/>
                          <a:tailEnd type="arrow" w="med" len="med"/>
                        </a:ln>
                      </wps:spPr>
                      <wps:bodyPr upright="true"/>
                    </wps:wsp>
                  </a:graphicData>
                </a:graphic>
              </wp:anchor>
            </w:drawing>
          </mc:Choice>
          <mc:Fallback>
            <w:pict>
              <v:line id="直线 22" o:spid="_x0000_s1026" o:spt="20" style="position:absolute;left:0pt;margin-left:275.8pt;margin-top:16.65pt;height:0.05pt;width:18.15pt;z-index:251659264;mso-width-relative:page;mso-height-relative:page;" filled="f" stroked="t" coordsize="21600,21600" o:gfxdata="UEsFBgAAAAAAAAAAAAAAAAAAAAAAAFBLAwQKAAAAAACHTuJAAAAAAAAAAAAAAAAABAAAAGRycy9Q&#10;SwMEFAAAAAgAh07iQCdCHZPYAAAACQEAAA8AAABkcnMvZG93bnJldi54bWxNjz1vwjAQhvdK/Afr&#10;kLoVJ6ShNMRhqIQQQwegC5sTH0lE7hzF5vPX10zteHeP3nvefHmjTlxwcK1lBfEkAoFcWdNyreBn&#10;v3qbg3Bes9GdZVRwRwfLYvSS68zYK2/xsvO1CCHsMq2g8b7PpHRVg6TdxPbI4Xa0A2kfxqGWZtDX&#10;EE6dnEbRTJJuOXxodI9fDVan3ZkUPKg8xuX6QIc1rTYn2putv38r9TqOowUIjzf/B8NTP6hDEZxK&#10;e2bjRKcgTeNZQBUkSQIiAOn84xNE+Vy8gyxy+b9B8QtQSwMEFAAAAAgAh07iQH3OMC7TAQAAkwMA&#10;AA4AAABkcnMvZTJvRG9jLnhtbK1Ty67TMBDdI/EPlvc0aapeUNT0Lm65bBBUAj5gajuJJb80dpv2&#10;W/gNVmz4nPsbjN3S8lohsnDGnuOTOWcmq/ujNeygMGrvOj6f1ZwpJ7zUbuj4p4+PL15xFhM4CcY7&#10;1fGTivx+/fzZagqtavzojVTIiMTFdgodH1MKbVVFMSoLceaDcpTsPVpItMWhkggTsVtTNXV9V00e&#10;ZUAvVIx0ujkn+brw970S6X3fR5WY6TjVlsqKZd3ltVqvoB0QwqjFpQz4hyosaEcfvVJtIAHbo/6D&#10;ymqBPvo+zYS3le97LVTRQGrm9W9qPowQVNFC5sRwtSn+P1rx7rBFpiX1jjMHllr09PnL09dvrGmy&#10;OVOILWEe3BYvuxi2mJUee7T5TRrYsRh6uhqqjokJOmwW9bJeciYodbdYZsLqdjNgTG+UtywHHTfa&#10;ZbHQwuFtTGfoD0g+No5NHV/MX2ZCoFnpDSQKbaDqoxvK3eiNlo/amHwj4rB7MMgOkLtfnksJv8Dy&#10;RzYQxzOupDIM2lGBfO0kS6dAvjgaYJ5LsEpyZhTNe44KMoE2NyQg+unvUJJvHLmQfT07maOdlydq&#10;wz6gHkayIuFelUpzkjpfbLtMaR6tn/eF7PYvr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J0Id&#10;k9gAAAAJAQAADwAAAAAAAAABACAAAAA4AAAAZHJzL2Rvd25yZXYueG1sUEsBAhQAFAAAAAgAh07i&#10;QH3OMC7TAQAAkwMAAA4AAAAAAAAAAQAgAAAAPQEAAGRycy9lMm9Eb2MueG1sUEsFBgAAAAAGAAYA&#10;WQEAAIIFAAAAAA==&#10;">
                <v:fill on="f" focussize="0,0"/>
                <v:stroke weight="0.25pt" color="#000000" joinstyle="round" endarrow="open"/>
                <v:imagedata o:title=""/>
                <o:lock v:ext="edit" aspectratio="f"/>
              </v:line>
            </w:pict>
          </mc:Fallback>
        </mc:AlternateContent>
      </w:r>
      <w:r>
        <w:rPr>
          <w:rFonts w:hint="eastAsia" w:ascii="仿宋_GB2312" w:hAnsi="仿宋_GB2312" w:eastAsia="仿宋_GB2312" w:cs="仿宋_GB2312"/>
          <w:color w:val="auto"/>
          <w:sz w:val="32"/>
          <w:szCs w:val="32"/>
          <w:lang w:val="en-US" w:eastAsia="zh-CN"/>
        </w:rPr>
        <w:t>勾臂车将压缩箱卸入末端平台轨道  通过控制台操作将压缩箱与压缩机完成对接，合拢抱钩锁紧压缩箱   控制台操作提起压缩箱箱门   压缩机推头将垃圾推入压缩箱，直至压满   控制台操控关闭箱门，开启抱钩使压缩箱与压缩机分离   勾臂车将满载压缩箱转运到处理场地处理。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FF0000"/>
          <w:sz w:val="32"/>
          <w:szCs w:val="32"/>
        </w:rPr>
      </w:pPr>
      <w:bookmarkStart w:id="12" w:name="_Toc368130525_WPSOffice_Level2"/>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）事发现场情况</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eastAsia="zh-CN"/>
        </w:rPr>
        <w:t>事发作业现场位于环卫中心垃圾转运站生产车间东南侧压缩箱承载工作平台</w:t>
      </w:r>
      <w:r>
        <w:rPr>
          <w:rFonts w:hint="eastAsia" w:ascii="仿宋_GB2312" w:hAnsi="仿宋_GB2312" w:eastAsia="仿宋_GB2312" w:cs="仿宋_GB2312"/>
          <w:color w:val="auto"/>
          <w:sz w:val="32"/>
          <w:szCs w:val="32"/>
          <w:lang w:val="en-US" w:eastAsia="zh-CN"/>
        </w:rPr>
        <w:t>；平台承载轨道放置两个压缩箱，南侧箱体喷涂编号3号，北侧箱体喷涂编号13号，13号箱长约6.6米、宽约2米、高约1.9米；两个压缩箱间距约0.97米，3号箱北侧抱钩与13号箱南侧抱钩间距约0.79米，死者倒地位置位于3号箱抱钩下方；压缩箱西侧为压缩机、分料器等设备;13号箱北侧设置有控制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bookmarkStart w:id="13" w:name="_Toc1664730790_WPSOffice_Level1"/>
      <w:r>
        <w:rPr>
          <w:rFonts w:hint="eastAsia" w:ascii="黑体" w:hAnsi="黑体" w:eastAsia="黑体" w:cs="黑体"/>
          <w:color w:val="000000"/>
          <w:sz w:val="32"/>
          <w:szCs w:val="32"/>
        </w:rPr>
        <w:t>二、事故经过及应急处置情况</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bookmarkStart w:id="14" w:name="_Toc1831302236_WPSOffice_Level2"/>
      <w:r>
        <w:rPr>
          <w:rFonts w:hint="eastAsia" w:ascii="楷体_GB2312" w:hAnsi="楷体_GB2312" w:eastAsia="楷体_GB2312" w:cs="楷体_GB2312"/>
          <w:color w:val="000000"/>
          <w:sz w:val="32"/>
          <w:szCs w:val="32"/>
        </w:rPr>
        <w:t>（一）事故发生经过</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通过查看监控视频，结合调查询问，事故发生经过为：</w:t>
      </w:r>
      <w:r>
        <w:rPr>
          <w:rFonts w:hint="eastAsia" w:ascii="仿宋_GB2312" w:hAnsi="仿宋_GB2312" w:eastAsia="仿宋_GB2312" w:cs="仿宋_GB2312"/>
          <w:sz w:val="32"/>
          <w:szCs w:val="32"/>
          <w:lang w:val="en-US" w:eastAsia="zh-CN"/>
        </w:rPr>
        <w:t>作业人员刘某旭、刘某民二人2月5日按排班顺序为下午班。12时，二人上班，开始进行倒换压缩箱作业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时35分，二人完成第一箱作业。14时37分，勾臂车司机陈某将事发13号压缩箱放置在平台轨道上，后驾车将压缩箱向西侧推行对接压缩设备，然后驶离。此时，刘某旭在控制台操作合拢抱钩。由于压缩箱与压缩设备没有充分对接，刘某旭操作开启抱钩，然后下控制台找司机陈静要求其驾车把压缩箱再向西侧推行，以便完成充分对接。刘某旭回到控制台，后通过压缩箱与压缩设备缝隙看到刘某民被13号箱南侧开启抱钩挤压。刘某旭赶紧操作合拢抱钩，然后跑到事发位置查看，发现刘某民已倒地。刘某旭用帽子垫在刘某民头下，为其盖上衣服，并呼喊刘某民。司机陈某连忙找到班组长霍某星、张某庆。二人到场后，拨打120求救、110报警。120救护人员到场后，确认刘某民已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bookmarkStart w:id="15" w:name="_Toc938561357_WPSOffice_Level2"/>
      <w:r>
        <w:rPr>
          <w:rFonts w:hint="eastAsia" w:ascii="楷体_GB2312" w:hAnsi="楷体_GB2312" w:eastAsia="楷体_GB2312" w:cs="楷体_GB2312"/>
          <w:color w:val="000000"/>
          <w:sz w:val="32"/>
          <w:szCs w:val="32"/>
        </w:rPr>
        <w:t>（二）应急处置情况</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接报后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w:t>
      </w:r>
      <w:r>
        <w:rPr>
          <w:rFonts w:hint="eastAsia" w:ascii="仿宋_GB2312" w:hAnsi="仿宋_GB2312" w:eastAsia="仿宋_GB2312" w:cs="仿宋_GB2312"/>
          <w:sz w:val="32"/>
          <w:szCs w:val="32"/>
          <w:lang w:eastAsia="zh-CN"/>
        </w:rPr>
        <w:t>、魏善庄镇、环卫中心有关领导和</w:t>
      </w:r>
      <w:r>
        <w:rPr>
          <w:rFonts w:hint="eastAsia" w:ascii="仿宋_GB2312" w:hAnsi="仿宋_GB2312" w:eastAsia="仿宋_GB2312" w:cs="仿宋_GB2312"/>
          <w:sz w:val="32"/>
          <w:szCs w:val="32"/>
        </w:rPr>
        <w:t>相关工作人员第一时间赶往现场进行应急处置。</w:t>
      </w:r>
      <w:r>
        <w:rPr>
          <w:rFonts w:hint="eastAsia" w:ascii="仿宋_GB2312" w:hAnsi="仿宋_GB2312" w:eastAsia="仿宋_GB2312" w:cs="仿宋_GB2312"/>
          <w:sz w:val="32"/>
          <w:szCs w:val="32"/>
          <w:lang w:eastAsia="zh-CN"/>
        </w:rPr>
        <w:t>区公安分局对现场进行保护、警戒；</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公安分局、</w:t>
      </w:r>
      <w:r>
        <w:rPr>
          <w:rFonts w:hint="eastAsia" w:ascii="仿宋_GB2312" w:hAnsi="仿宋_GB2312" w:eastAsia="仿宋_GB2312" w:cs="仿宋_GB2312"/>
          <w:sz w:val="32"/>
          <w:szCs w:val="32"/>
          <w:lang w:val="en-US" w:eastAsia="zh-CN"/>
        </w:rPr>
        <w:t>区应急局</w:t>
      </w:r>
      <w:r>
        <w:rPr>
          <w:rFonts w:hint="eastAsia" w:ascii="仿宋_GB2312" w:hAnsi="仿宋_GB2312" w:eastAsia="仿宋_GB2312" w:cs="仿宋_GB2312"/>
          <w:sz w:val="32"/>
          <w:szCs w:val="32"/>
          <w:lang w:eastAsia="zh-CN"/>
        </w:rPr>
        <w:t>工作人员分别对现场进行勘验、取证，对相关人员进行了调查询问</w:t>
      </w:r>
      <w:r>
        <w:rPr>
          <w:rFonts w:hint="eastAsia" w:ascii="仿宋_GB2312" w:hAnsi="仿宋_GB2312" w:eastAsia="仿宋_GB2312" w:cs="仿宋_GB2312"/>
          <w:sz w:val="32"/>
          <w:szCs w:val="32"/>
        </w:rPr>
        <w:t>。</w:t>
      </w:r>
      <w:r>
        <w:rPr>
          <w:rFonts w:hint="eastAsia" w:ascii="仿宋_GB2312" w:eastAsia="仿宋_GB2312"/>
          <w:color w:val="000000"/>
          <w:sz w:val="32"/>
          <w:szCs w:val="32"/>
          <w:lang w:eastAsia="zh-CN"/>
        </w:rPr>
        <w:t>魏善庄</w:t>
      </w:r>
      <w:r>
        <w:rPr>
          <w:rFonts w:hint="eastAsia" w:ascii="仿宋_GB2312" w:eastAsia="仿宋_GB2312"/>
          <w:color w:val="000000"/>
          <w:sz w:val="32"/>
          <w:szCs w:val="32"/>
        </w:rPr>
        <w:t>镇</w:t>
      </w:r>
      <w:r>
        <w:rPr>
          <w:rFonts w:hint="eastAsia" w:ascii="仿宋_GB2312" w:eastAsia="仿宋_GB2312"/>
          <w:color w:val="000000"/>
          <w:sz w:val="32"/>
          <w:szCs w:val="32"/>
          <w:lang w:eastAsia="zh-CN"/>
        </w:rPr>
        <w:t>、环卫中心</w:t>
      </w:r>
      <w:r>
        <w:rPr>
          <w:rFonts w:hint="eastAsia" w:ascii="仿宋_GB2312" w:eastAsia="仿宋_GB2312"/>
          <w:color w:val="000000"/>
          <w:sz w:val="32"/>
          <w:szCs w:val="32"/>
        </w:rPr>
        <w:t>协助配合相关部门完成现场笔录及善后处理等工作</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bookmarkStart w:id="16" w:name="_Toc1731462822_WPSOffice_Level2"/>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伤亡人员情况</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000000"/>
          <w:sz w:val="32"/>
          <w:szCs w:val="32"/>
        </w:rPr>
        <w:t>事故造成一人死亡。具体情况为：</w:t>
      </w:r>
      <w:r>
        <w:rPr>
          <w:rFonts w:hint="eastAsia" w:ascii="仿宋_GB2312" w:eastAsia="仿宋_GB2312"/>
          <w:sz w:val="32"/>
          <w:szCs w:val="32"/>
          <w:lang w:eastAsia="zh-CN"/>
        </w:rPr>
        <w:t>刘某民</w:t>
      </w:r>
      <w:r>
        <w:rPr>
          <w:rFonts w:hint="eastAsia" w:ascii="仿宋_GB2312" w:eastAsia="仿宋_GB2312"/>
          <w:sz w:val="32"/>
          <w:szCs w:val="32"/>
        </w:rPr>
        <w:t>，男，</w:t>
      </w:r>
      <w:r>
        <w:rPr>
          <w:rFonts w:hint="eastAsia" w:ascii="仿宋_GB2312" w:eastAsia="仿宋_GB2312"/>
          <w:sz w:val="32"/>
          <w:szCs w:val="32"/>
          <w:lang w:val="en-US" w:eastAsia="zh-CN"/>
        </w:rPr>
        <w:t>55</w:t>
      </w:r>
      <w:r>
        <w:rPr>
          <w:rFonts w:hint="eastAsia" w:ascii="仿宋_GB2312" w:eastAsia="仿宋_GB2312"/>
          <w:sz w:val="32"/>
          <w:szCs w:val="32"/>
        </w:rPr>
        <w:t>岁，</w:t>
      </w:r>
      <w:r>
        <w:rPr>
          <w:rFonts w:hint="eastAsia" w:ascii="仿宋_GB2312" w:eastAsia="仿宋_GB2312"/>
          <w:sz w:val="32"/>
          <w:szCs w:val="32"/>
          <w:lang w:eastAsia="zh-CN"/>
        </w:rPr>
        <w:t>北京市大兴区人</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eastAsia="仿宋_GB2312"/>
          <w:color w:val="auto"/>
          <w:sz w:val="32"/>
          <w:szCs w:val="32"/>
          <w:lang w:eastAsia="zh-CN"/>
        </w:rPr>
        <w:t>刘某民</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000000"/>
          <w:sz w:val="32"/>
          <w:szCs w:val="32"/>
          <w:lang w:eastAsia="zh-CN"/>
        </w:rPr>
        <w:t>兴宾通</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auto"/>
          <w:sz w:val="32"/>
          <w:szCs w:val="32"/>
        </w:rPr>
        <w:t>签订了《劳动合同书》，</w:t>
      </w:r>
      <w:r>
        <w:rPr>
          <w:rFonts w:hint="eastAsia" w:ascii="仿宋_GB2312" w:hAnsi="仿宋_GB2312" w:eastAsia="仿宋_GB2312" w:cs="仿宋_GB2312"/>
          <w:color w:val="auto"/>
          <w:sz w:val="32"/>
          <w:szCs w:val="32"/>
          <w:lang w:eastAsia="zh-CN"/>
        </w:rPr>
        <w:t>同年被派遣至环卫中心工作，</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一般辅助</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，工资按</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结算，</w:t>
      </w:r>
      <w:r>
        <w:rPr>
          <w:rFonts w:hint="eastAsia" w:ascii="仿宋_GB2312" w:hAnsi="仿宋_GB2312" w:eastAsia="仿宋_GB2312" w:cs="仿宋_GB2312"/>
          <w:color w:val="auto"/>
          <w:sz w:val="32"/>
          <w:szCs w:val="32"/>
          <w:lang w:eastAsia="zh-CN"/>
        </w:rPr>
        <w:t>合同未约定具体薪资，约定不低于北京市最低工资标准。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rPr>
      </w:pPr>
      <w:bookmarkStart w:id="17" w:name="_Toc245440312_WPSOffice_Level1"/>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、事故原因</w:t>
      </w:r>
      <w:r>
        <w:rPr>
          <w:rFonts w:hint="eastAsia" w:ascii="黑体" w:hAnsi="黑体" w:eastAsia="黑体" w:cs="黑体"/>
          <w:color w:val="000000"/>
          <w:sz w:val="32"/>
          <w:szCs w:val="32"/>
          <w:lang w:eastAsia="zh-CN"/>
        </w:rPr>
        <w:t>和性质</w:t>
      </w:r>
      <w:bookmarkEnd w:id="17"/>
    </w:p>
    <w:p>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bookmarkStart w:id="18" w:name="_Toc920799296_WPSOffice_Level2"/>
      <w:r>
        <w:rPr>
          <w:rFonts w:hint="eastAsia" w:ascii="楷体_GB2312" w:eastAsia="楷体_GB2312"/>
          <w:color w:val="000000"/>
          <w:sz w:val="32"/>
          <w:szCs w:val="32"/>
        </w:rPr>
        <w:t>（一）事故直接原因</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事故调查组通过现场勘验、询问调查，认定事故直接原因为：</w:t>
      </w:r>
      <w:r>
        <w:rPr>
          <w:rFonts w:hint="eastAsia" w:ascii="仿宋_GB2312" w:hAnsi="仿宋_GB2312" w:eastAsia="仿宋_GB2312" w:cs="仿宋_GB2312"/>
          <w:color w:val="000000"/>
          <w:sz w:val="32"/>
          <w:szCs w:val="32"/>
          <w:lang w:eastAsia="zh-CN"/>
        </w:rPr>
        <w:t>抱钩合拢不实、作业人员盲目操作，导致事故发生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具体情况分析如下：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1.设备设施情况分析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lang w:val="en-US" w:eastAsia="zh-CN"/>
        </w:rPr>
      </w:pPr>
      <w:r>
        <w:rPr>
          <w:rFonts w:hint="eastAsia" w:ascii="仿宋_GB2312" w:hAnsi="仿宋_GB2312" w:eastAsia="仿宋_GB2312" w:cs="仿宋_GB2312"/>
          <w:color w:val="000000"/>
          <w:sz w:val="32"/>
          <w:szCs w:val="32"/>
          <w:lang w:val="en-US" w:eastAsia="zh-CN"/>
        </w:rPr>
        <w:t>转运站设备末端双线改造（二期）项目完成后，配置一批压缩箱，抱钩可以和此批次压缩箱契合抱拢。此后，由于原批次压缩箱老化等原因，转运站又配置了压缩箱。新配置压缩箱与原批次压缩箱规格存在偏差，造成抱钩不能完全抱拢，需要人员观察、辅助抱钩合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2.刘某旭操作情况分析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刘某旭、刘某民二人作业时随身佩戴对讲机，即使在无法互相观察的情况下，也可以通过对讲机进行沟通。刘某旭发现事发压缩箱</w:t>
      </w:r>
      <w:r>
        <w:rPr>
          <w:rFonts w:hint="eastAsia" w:ascii="仿宋_GB2312" w:hAnsi="仿宋_GB2312" w:eastAsia="仿宋_GB2312" w:cs="仿宋_GB2312"/>
          <w:sz w:val="32"/>
          <w:szCs w:val="32"/>
          <w:lang w:val="en-US" w:eastAsia="zh-CN"/>
        </w:rPr>
        <w:t>与压缩设备没有充分对接，抱钩无法合拢后，直接操作开启抱钩，未与刘某民进行有效沟通</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3.挤压位置分析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lang w:val="en-US" w:eastAsia="zh-CN"/>
        </w:rPr>
      </w:pPr>
      <w:r>
        <w:rPr>
          <w:rFonts w:hint="eastAsia" w:ascii="仿宋_GB2312" w:hAnsi="仿宋_GB2312" w:eastAsia="仿宋_GB2312" w:cs="仿宋_GB2312"/>
          <w:sz w:val="32"/>
          <w:szCs w:val="32"/>
          <w:lang w:val="en-US" w:eastAsia="zh-CN"/>
        </w:rPr>
        <w:t>事发后，调查人员通过现场勘验，13号箱南侧抱钩开启后运行位置与3号箱北侧抱钩相接触。因此，可以确定刘某民事发时，被13号箱南侧抱钩挤压在3号箱北侧抱钩处。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000000"/>
          <w:sz w:val="32"/>
          <w:szCs w:val="32"/>
        </w:rPr>
      </w:pPr>
      <w:bookmarkStart w:id="19" w:name="_Toc1172720864_WPSOffice_Level2"/>
      <w:r>
        <w:rPr>
          <w:rFonts w:hint="eastAsia" w:ascii="楷体_GB2312" w:eastAsia="楷体_GB2312"/>
          <w:color w:val="000000"/>
          <w:sz w:val="32"/>
          <w:szCs w:val="32"/>
        </w:rPr>
        <w:t>（二）其他可能因素排除</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经公安机关调查，本次事故中无证据证明死者死亡系</w:t>
      </w:r>
      <w:r>
        <w:rPr>
          <w:rFonts w:hint="eastAsia" w:ascii="仿宋_GB2312" w:hAnsi="仿宋_GB2312" w:eastAsia="仿宋_GB2312" w:cs="仿宋_GB2312"/>
          <w:color w:val="auto"/>
          <w:sz w:val="32"/>
          <w:szCs w:val="32"/>
          <w:lang w:eastAsia="zh-CN"/>
        </w:rPr>
        <w:t>他杀</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eastAsia="zh-CN"/>
        </w:rPr>
      </w:pPr>
      <w:bookmarkStart w:id="20" w:name="_Toc734522713_WPSOffice_Level2"/>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三</w:t>
      </w:r>
      <w:r>
        <w:rPr>
          <w:rFonts w:hint="eastAsia" w:ascii="楷体_GB2312" w:eastAsia="楷体_GB2312"/>
          <w:color w:val="000000"/>
          <w:sz w:val="32"/>
          <w:szCs w:val="32"/>
          <w:lang w:eastAsia="zh-CN"/>
        </w:rPr>
        <w:t>）事故性质</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eastAsia="zh-CN"/>
        </w:rPr>
        <w:t>《北京市生产安全事故报告和调查处理办法》第二条释义中关于生产安全事故概念的主体要素明确表述：事故发生单位必须是生产经营单位，包括所有在各级工商行政部门登记注册的企业法人、非法人的其他组织、个体工商户和从事营利性活动的事业单位和社会团体。本次事故主体单位</w:t>
      </w:r>
      <w:r>
        <w:rPr>
          <w:rFonts w:hint="eastAsia" w:ascii="仿宋_GB2312" w:hAnsi="仿宋_GB2312" w:eastAsia="仿宋_GB2312" w:cs="仿宋_GB2312"/>
          <w:sz w:val="32"/>
          <w:szCs w:val="32"/>
          <w:lang w:val="en-US" w:eastAsia="zh-CN"/>
        </w:rPr>
        <w:t>转运站为</w:t>
      </w:r>
      <w:r>
        <w:rPr>
          <w:rFonts w:hint="eastAsia" w:ascii="仿宋_GB2312" w:hAnsi="仿宋_GB2312" w:eastAsia="仿宋_GB2312" w:cs="仿宋_GB2312"/>
          <w:color w:val="000000"/>
          <w:sz w:val="32"/>
          <w:szCs w:val="32"/>
          <w:lang w:val="en-US" w:eastAsia="zh-CN"/>
        </w:rPr>
        <w:t>公益一类正科级事业单位，</w:t>
      </w:r>
      <w:r>
        <w:rPr>
          <w:rFonts w:hint="eastAsia" w:ascii="仿宋_GB2312" w:hAnsi="仿宋_GB2312" w:eastAsia="仿宋_GB2312" w:cs="仿宋_GB2312"/>
          <w:color w:val="000000"/>
          <w:sz w:val="32"/>
          <w:szCs w:val="32"/>
          <w:lang w:eastAsia="zh-CN"/>
        </w:rPr>
        <w:t>经费来源为财政补助，属于非营利性事业单位，不符合主体要素范围。因此，事故调查组认定北京大兴环卫中心垃圾转运站“2·5”机械伤害事故为非生产安全事故。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color w:val="000000"/>
          <w:kern w:val="2"/>
          <w:sz w:val="32"/>
          <w:szCs w:val="32"/>
          <w:lang w:val="en-US" w:eastAsia="zh-CN" w:bidi="ar-SA"/>
        </w:rPr>
      </w:pPr>
      <w:bookmarkStart w:id="21" w:name="_Toc182243102_WPSOffice_Level1"/>
      <w:r>
        <w:rPr>
          <w:rFonts w:hint="eastAsia" w:ascii="黑体" w:hAnsi="黑体" w:eastAsia="黑体" w:cs="黑体"/>
          <w:b w:val="0"/>
          <w:color w:val="000000"/>
          <w:kern w:val="2"/>
          <w:sz w:val="32"/>
          <w:szCs w:val="32"/>
          <w:lang w:val="en-US" w:eastAsia="zh-CN" w:bidi="ar-SA"/>
        </w:rPr>
        <w:t>四、事故调查中发现的主要问题</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val="en-US" w:eastAsia="zh-CN"/>
        </w:rPr>
      </w:pPr>
      <w:bookmarkStart w:id="22" w:name="_Toc63588984_WPSOffice_Level2"/>
      <w:r>
        <w:rPr>
          <w:rFonts w:hint="eastAsia" w:ascii="楷体_GB2312" w:eastAsia="楷体_GB2312"/>
          <w:color w:val="000000"/>
          <w:sz w:val="32"/>
          <w:szCs w:val="32"/>
        </w:rPr>
        <w:t>（</w:t>
      </w:r>
      <w:r>
        <w:rPr>
          <w:rFonts w:hint="eastAsia" w:ascii="楷体_GB2312" w:eastAsia="楷体_GB2312"/>
          <w:color w:val="000000"/>
          <w:sz w:val="32"/>
          <w:szCs w:val="32"/>
          <w:lang w:eastAsia="zh-CN"/>
        </w:rPr>
        <w:t>一</w:t>
      </w:r>
      <w:r>
        <w:rPr>
          <w:rFonts w:hint="eastAsia" w:ascii="楷体_GB2312" w:eastAsia="楷体_GB2312"/>
          <w:color w:val="000000"/>
          <w:sz w:val="32"/>
          <w:szCs w:val="32"/>
        </w:rPr>
        <w:t>）</w:t>
      </w:r>
      <w:r>
        <w:rPr>
          <w:rFonts w:hint="eastAsia" w:ascii="楷体_GB2312" w:eastAsia="楷体_GB2312"/>
          <w:color w:val="000000"/>
          <w:sz w:val="32"/>
          <w:szCs w:val="32"/>
          <w:lang w:eastAsia="zh-CN"/>
        </w:rPr>
        <w:t>未有效统筹生产和安全</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转运站为民生保障单位，生产压力较大。其未能在保障生产情况下统筹好安全工作，安全风险分级管控和隐患排查治理存在漏洞，未全面辨识抱钩合拢不实的安全风险，未制定行之有效的管控措施；操作规范不健全，转运站制定了事发压缩机操作规范，明确了个人防护用品、工作内容、操作流程，但未明确安全措施和应急处理措施；应急演练单一，2024年，转运站只进行了消防应急演练，未进行机械伤害等应急演练</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eastAsia="zh-CN"/>
        </w:rPr>
      </w:pPr>
      <w:bookmarkStart w:id="23" w:name="_Toc333791715_WPSOffice_Level2"/>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二</w:t>
      </w:r>
      <w:r>
        <w:rPr>
          <w:rFonts w:hint="eastAsia" w:ascii="楷体_GB2312" w:eastAsia="楷体_GB2312"/>
          <w:color w:val="000000"/>
          <w:sz w:val="32"/>
          <w:szCs w:val="32"/>
          <w:lang w:eastAsia="zh-CN"/>
        </w:rPr>
        <w:t>）安全检查流于形式</w:t>
      </w:r>
      <w:bookmarkEnd w:id="23"/>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通过查阅转运站提供的2025年以来的日常安全检查记录，可以看出转运站落实安全检查制度不力，日常安全检查不全面，多为进行设备维修保养作业，未涉及设备设施、生产过程、劳动纪律等方面的检查；发现问题能力较弱，未能体现整改闭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val="en-US" w:eastAsia="zh-CN"/>
        </w:rPr>
      </w:pPr>
      <w:bookmarkStart w:id="24" w:name="_Toc1898577976_WPSOffice_Level2"/>
      <w:r>
        <w:rPr>
          <w:rFonts w:hint="eastAsia" w:ascii="楷体_GB2312" w:eastAsia="楷体_GB2312"/>
          <w:color w:val="000000"/>
          <w:sz w:val="32"/>
          <w:szCs w:val="32"/>
          <w:lang w:val="en-US" w:eastAsia="zh-CN"/>
        </w:rPr>
        <w:t>（三）教育培训质效不高</w:t>
      </w:r>
      <w:bookmarkEnd w:id="24"/>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eastAsia="仿宋_GB2312"/>
          <w:b w:val="0"/>
          <w:bCs w:val="0"/>
          <w:color w:val="000000"/>
          <w:sz w:val="32"/>
          <w:szCs w:val="32"/>
          <w:lang w:val="en-US" w:eastAsia="zh-CN"/>
        </w:rPr>
        <w:t>事发生产车间操作人员多为原垃圾清运队司机转岗后从事此项工作，转运站采取以老带新的方式进行操作培训，教育培训质效不高，未对此类人员进行系统的安全生产转岗培训，使得作业人员对所在岗位的安全知识欠缺，对相关规章制度不熟悉，对本岗位的安全操作技能掌握不牢，安全意识淡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5" w:name="_Toc928344223_WPSOffice_Level1"/>
      <w:r>
        <w:rPr>
          <w:rFonts w:hint="eastAsia" w:ascii="黑体" w:hAnsi="黑体" w:eastAsia="黑体" w:cs="黑体"/>
          <w:sz w:val="32"/>
          <w:szCs w:val="32"/>
          <w:lang w:val="en-US" w:eastAsia="zh-CN"/>
        </w:rPr>
        <w:t>五、对事故有关责任人员处理建议</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王某东，转运站负责人，负责转运站全面工作。对转运站安全生产工作疏于管理，未有效统筹生产和安全，对转运站存在的安全检查流于形式、教育培训质效不高等问题失管；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白某会，前勤副站长，分管垃圾收运、转运等工作。对本单位安全生产规章制度不熟悉，对操作规程掌握不牢，隐患排查存在漏洞，落实“管生产必须管安全”不力；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刘某旭1，后勤副站长，分管维修、安全、后勤保障等工作。未正确履行相关职责，制定操作规程不健全，安全检查不全面，教育培训工作不规范、质效不高。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事故调查组将上述问题向</w:t>
      </w:r>
      <w:r>
        <w:rPr>
          <w:rFonts w:hint="eastAsia" w:ascii="仿宋_GB2312" w:hAnsi="仿宋_GB2312" w:eastAsia="仿宋_GB2312" w:cs="仿宋_GB2312"/>
          <w:sz w:val="32"/>
          <w:szCs w:val="32"/>
        </w:rPr>
        <w:t>区纪委区监委</w:t>
      </w:r>
      <w:r>
        <w:rPr>
          <w:rFonts w:hint="eastAsia" w:ascii="仿宋_GB2312" w:hAnsi="仿宋_GB2312" w:eastAsia="仿宋_GB2312" w:cs="仿宋_GB2312"/>
          <w:b w:val="0"/>
          <w:bCs w:val="0"/>
          <w:color w:val="auto"/>
          <w:sz w:val="32"/>
          <w:szCs w:val="32"/>
          <w:lang w:val="en-US" w:eastAsia="zh-CN"/>
        </w:rPr>
        <w:t>移交，由</w:t>
      </w:r>
      <w:r>
        <w:rPr>
          <w:rFonts w:hint="eastAsia" w:ascii="仿宋_GB2312" w:hAnsi="仿宋_GB2312" w:eastAsia="仿宋_GB2312" w:cs="仿宋_GB2312"/>
          <w:sz w:val="32"/>
          <w:szCs w:val="32"/>
        </w:rPr>
        <w:t>区纪委区监委</w:t>
      </w:r>
      <w:r>
        <w:rPr>
          <w:rFonts w:hint="eastAsia" w:ascii="仿宋_GB2312" w:hAnsi="仿宋_GB2312" w:eastAsia="仿宋_GB2312" w:cs="仿宋_GB2312"/>
          <w:b w:val="0"/>
          <w:bCs w:val="0"/>
          <w:color w:val="auto"/>
          <w:sz w:val="32"/>
          <w:szCs w:val="32"/>
          <w:lang w:val="en-US" w:eastAsia="zh-CN"/>
        </w:rPr>
        <w:t>另案处理。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6" w:name="_Toc1665942379_WPSOffice_Level1"/>
      <w:r>
        <w:rPr>
          <w:rFonts w:hint="eastAsia" w:ascii="黑体" w:hAnsi="黑体" w:eastAsia="黑体" w:cs="黑体"/>
          <w:sz w:val="32"/>
          <w:szCs w:val="32"/>
          <w:lang w:eastAsia="zh-CN"/>
        </w:rPr>
        <w:t>六、</w:t>
      </w:r>
      <w:r>
        <w:rPr>
          <w:rFonts w:hint="eastAsia" w:ascii="黑体" w:hAnsi="黑体" w:eastAsia="黑体" w:cs="黑体"/>
          <w:sz w:val="32"/>
          <w:szCs w:val="32"/>
        </w:rPr>
        <w:t>事故整改和防范措施建议</w:t>
      </w:r>
      <w:bookmarkEnd w:id="26"/>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kern w:val="2"/>
          <w:sz w:val="32"/>
          <w:szCs w:val="32"/>
          <w:lang w:val="en-US" w:eastAsia="zh-CN" w:bidi="ar-SA"/>
        </w:rPr>
      </w:pPr>
      <w:bookmarkStart w:id="27" w:name="_Toc658638704_WPSOffice_Level2"/>
      <w:r>
        <w:rPr>
          <w:rFonts w:hint="eastAsia" w:ascii="楷体_GB2312" w:hAnsi="楷体_GB2312" w:eastAsia="楷体_GB2312" w:cs="楷体_GB2312"/>
          <w:b w:val="0"/>
          <w:kern w:val="2"/>
          <w:sz w:val="32"/>
          <w:szCs w:val="32"/>
          <w:lang w:val="en-US" w:eastAsia="zh-CN" w:bidi="ar-SA"/>
        </w:rPr>
        <w:t>（一）统筹做好生产和安全</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近年来，随着新城发展及城镇化建设，转运站生产压力日益增大，工作人员及运行设备都面临严峻的考验。在考验面前，转运站应进一步牢固树立安全发展的理念，统筹做好生产和安全工作</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sz w:val="32"/>
          <w:szCs w:val="32"/>
          <w:lang w:val="en-US" w:eastAsia="zh-CN"/>
        </w:rPr>
        <w:t>组织全员警示教育大会，深刻剖析此次事故教训；要健全岗位操作规范，使从业人员有章可循、有据可依；要提升转岗人员安全生产教育和培训的针对性、实效性，加强教育培训考核，促进从业人员尤其是一线人员增强安全意识和业务技能，掌握岗位安全操作规范，了解事故应急处理措施；要对此次事故应急处置工作进行总结，根据应急预案内容，加大预案桌面推演和实景实操演练的种类、频次，切实将应急预案从纸面落到实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kern w:val="2"/>
          <w:sz w:val="32"/>
          <w:szCs w:val="32"/>
          <w:lang w:val="en-US" w:eastAsia="zh-CN" w:bidi="ar-SA"/>
        </w:rPr>
      </w:pPr>
      <w:bookmarkStart w:id="28" w:name="_Toc1837965287_WPSOffice_Level2"/>
      <w:r>
        <w:rPr>
          <w:rFonts w:hint="eastAsia" w:ascii="楷体_GB2312" w:hAnsi="楷体_GB2312" w:eastAsia="楷体_GB2312" w:cs="楷体_GB2312"/>
          <w:b w:val="0"/>
          <w:kern w:val="2"/>
          <w:sz w:val="32"/>
          <w:szCs w:val="32"/>
          <w:lang w:val="en-US" w:eastAsia="zh-CN" w:bidi="ar-SA"/>
        </w:rPr>
        <w:t>（二）加强安全生产风险防控</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转运站要健全安全生产分级管控和隐患排查治理双重预防机制，对生产过程中的风险进行全面辨识和评估，采取相应的管控措施。着力落实各项规章制度，对</w:t>
      </w:r>
      <w:r>
        <w:rPr>
          <w:rFonts w:hint="eastAsia" w:ascii="仿宋_GB2312" w:eastAsia="仿宋_GB2312"/>
          <w:b w:val="0"/>
          <w:bCs w:val="0"/>
          <w:color w:val="000000"/>
          <w:sz w:val="32"/>
          <w:szCs w:val="32"/>
          <w:lang w:val="en-US" w:eastAsia="zh-CN"/>
        </w:rPr>
        <w:t>设备设施、生产过程、劳动纪律等进行全面检查，对检查出的问题建立台账，明确整改责任人、整改措施和整改期限；着力提升发现问题能力，组织管理人员进行安全法规、安全技术等方面的专业培训，</w:t>
      </w:r>
      <w:r>
        <w:rPr>
          <w:rFonts w:hint="eastAsia" w:ascii="仿宋_GB2312" w:hAnsi="仿宋_GB2312" w:eastAsia="仿宋_GB2312" w:cs="仿宋_GB2312"/>
          <w:color w:val="auto"/>
          <w:sz w:val="32"/>
          <w:szCs w:val="32"/>
          <w:lang w:val="en-US" w:eastAsia="zh-CN"/>
        </w:rPr>
        <w:t>认真研究风险隐患，确定检查标准，规范检查流程，切实提升发现问题解决问题的能力和水平；着力推动安全文化建设，积极营造浓厚的安全文化氛围，通过宣传、奖励等方式，让安全理念深入人心，促使从业人员主动参与隐患排查与治理，形成全员重视安全的良好风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安全生产工作是一项长期而艰巨的任务，全区各单位、各部门要建立健全“党政同责、一岗双责、齐抓共管、失职追责”的安全生产责任体系，严格落实“管行业必须管安全、管业务必须管安全、管生产必须管安全”的要求。要以高度的责任感和使命感，研究解决各类风险隐患问题，有效防范一般事故，坚决遏制较大以上事故，为全区经济社会持续健康发展提供有力保障。</w:t>
      </w:r>
    </w:p>
    <w:sectPr>
      <w:footerReference r:id="rId6" w:type="default"/>
      <w:pgSz w:w="11906" w:h="16838"/>
      <w:pgMar w:top="2098" w:right="1474" w:bottom="1984" w:left="1587" w:header="851" w:footer="158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ascii="楷体_GB2312" w:hAnsi="楷体_GB2312" w:eastAsia="楷体_GB2312" w:cs="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ascii="楷体_GB2312" w:hAnsi="楷体_GB2312" w:eastAsia="楷体_GB2312" w:cs="楷体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mc:AlternateContent>
        <mc:Choice Requires="wps">
          <w:drawing>
            <wp:anchor distT="0" distB="0" distL="114300" distR="114300" simplePos="0" relativeHeight="251661312" behindDoc="0" locked="0" layoutInCell="1" allowOverlap="1">
              <wp:simplePos x="0" y="0"/>
              <wp:positionH relativeFrom="margin">
                <wp:posOffset>2755265</wp:posOffset>
              </wp:positionH>
              <wp:positionV relativeFrom="paragraph">
                <wp:posOffset>-8255</wp:posOffset>
              </wp:positionV>
              <wp:extent cx="89535" cy="230505"/>
              <wp:effectExtent l="0" t="0" r="0" b="0"/>
              <wp:wrapNone/>
              <wp:docPr id="24"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13" o:spid="_x0000_s1026" o:spt="202" type="#_x0000_t202" style="position:absolute;left:0pt;margin-left:216.95pt;margin-top:-0.65pt;height:18.15pt;width:7.05pt;mso-position-horizontal-relative:margin;mso-wrap-style:none;z-index:251661312;mso-width-relative:page;mso-height-relative:page;" filled="f" stroked="f" coordsize="21600,21600" o:gfxdata="UEsFBgAAAAAAAAAAAAAAAAAAAAAAAFBLAwQKAAAAAACHTuJAAAAAAAAAAAAAAAAABAAAAGRycy9Q&#10;SwMEFAAAAAgAh07iQMh8J/fZAAAACQEAAA8AAABkcnMvZG93bnJldi54bWxNj0FLw0AQhe+C/2EZ&#10;wUtpd2OipDGTgkJvCrYKvW6z0yQ1Oxuy27T6611Pehzm473vlauL7cVEo+8cIyQLBYK4dqbjBuHj&#10;fT3PQfig2ejeMSF8kYdVdX1V6sK4M29o2oZGxBD2hUZoQxgKKX3dktV+4Qbi+Du40eoQz7GRZtTn&#10;GG57eafUg7S649jQ6oGeW6o/tyeLsHv5JtrkT7PZlB2Po1ov32r5inh7k6hHEIEu4Q+GX/2oDlV0&#10;2rsTGy96hCxNlxFFmCcpiAhkWR7H7RHSewWyKuX/BdUPUEsDBBQAAAAIAIdO4kCnbi9BxQEAAGwD&#10;AAAOAAAAZHJzL2Uyb0RvYy54bWytU81uEzEQviPxDpbvZDehhdUqTlVUtUJCgFR4AMdrZy35T2Mn&#10;u3kBeANOXLjzXHmOjp1siuit6sU74xl/M983s8ur0RqykxC1d4zOZzUl0gnfabdh9Pu32zcNJTFx&#10;13HjnWR0LyO9Wr1+tRxCKxe+96aTQBDExXYIjPYphbaqouil5XHmg3QYVB4sT+jCpuqAD4huTbWo&#10;63fV4KEL4IWMEW9vjkG6KvhKSZG+KBVlIoZR7C2VE8q5zme1WvJ2Azz0Wpza4M/ownLtsOgZ6oYn&#10;Tragn0BZLcBHr9JMeFt5pbSQhQOymdf/sbnveZCFC4oTw1mm+HKw4vPuKxDdMbq4oMRxizM6/Pp5&#10;+P338OcHmb/NAg0htph3HzAzjR/8yGiCrZxCEe8z9VGBzV8kRTAF1d6fFZZjIgIv582iaWoMCYxN&#10;DpaoHp8HiOlOekuywSjgCIuyfPcppmPqlJKrOX+rjSljNI4MiHrZvL8sL84hRDcuJ8uyESecTOvY&#10;e7bSuB5PXNe+2yPVAbeCUYdrS4n56FD0vECTAZOxnoxtAL3psWXFTcxj4wh/vU3YYOk7VzlCI9/s&#10;4EgL89P65Z351y9Zjz/J6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IfCf32QAAAAkBAAAPAAAA&#10;AAAAAAEAIAAAADgAAABkcnMvZG93bnJldi54bWxQSwECFAAUAAAACACHTuJAp24vQcUBAABsAwAA&#10;DgAAAAAAAAABACAAAAA+AQAAZHJzL2Uyb0RvYy54bWxQSwUGAAAAAAYABgBZAQAAdQUAAAAA&#10;">
              <v:fill on="f" focussize="0,0"/>
              <v:stroke on="f" weight="1.25pt"/>
              <v:imagedata o:title=""/>
              <o:lock v:ext="edit" aspectratio="f"/>
              <v:textbox inset="0mm,0mm,0mm,0mm" style="mso-fit-shape-to-text:t;">
                <w:txbxContent>
                  <w:p>
                    <w:pPr>
                      <w:snapToGrid w:val="0"/>
                      <w:rPr>
                        <w:rFonts w:hint="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snapToGrid w:val="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footnoteRef/>
      </w:r>
      <w:r>
        <w:rPr>
          <w:rFonts w:hint="eastAsia" w:ascii="宋体" w:hAnsi="宋体" w:eastAsia="宋体" w:cs="宋体"/>
          <w:color w:val="000000"/>
          <w:kern w:val="2"/>
          <w:sz w:val="24"/>
          <w:szCs w:val="24"/>
          <w:lang w:val="en-US" w:eastAsia="zh-CN" w:bidi="ar-SA"/>
        </w:rPr>
        <w:t>]</w:t>
      </w:r>
      <w:r>
        <w:rPr>
          <w:rFonts w:hint="eastAsia" w:ascii="宋体" w:hAnsi="宋体" w:cs="宋体"/>
          <w:color w:val="auto"/>
          <w:sz w:val="24"/>
          <w:szCs w:val="24"/>
          <w:lang w:val="en-US" w:eastAsia="zh-CN"/>
        </w:rPr>
        <w:t>公益一类，是指承担义务教育、基础性科研、公共文化、公共卫生及基层的基本医疗服务等基本公益服务，不能或不宜由市场配置资源的单位或机构。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7C3B"/>
    <w:rsid w:val="001F55A5"/>
    <w:rsid w:val="00372955"/>
    <w:rsid w:val="00394AF4"/>
    <w:rsid w:val="00430390"/>
    <w:rsid w:val="004569CB"/>
    <w:rsid w:val="004B19AE"/>
    <w:rsid w:val="00513FC6"/>
    <w:rsid w:val="00563765"/>
    <w:rsid w:val="005A4894"/>
    <w:rsid w:val="005D72BB"/>
    <w:rsid w:val="00673F4B"/>
    <w:rsid w:val="00767A72"/>
    <w:rsid w:val="007E7B1C"/>
    <w:rsid w:val="00901630"/>
    <w:rsid w:val="00954F1B"/>
    <w:rsid w:val="00961E20"/>
    <w:rsid w:val="0098107A"/>
    <w:rsid w:val="00983299"/>
    <w:rsid w:val="009D5087"/>
    <w:rsid w:val="00AC469A"/>
    <w:rsid w:val="00C351A3"/>
    <w:rsid w:val="00CF48B5"/>
    <w:rsid w:val="00D150A9"/>
    <w:rsid w:val="00D40CF6"/>
    <w:rsid w:val="00D623D1"/>
    <w:rsid w:val="00DC3C9A"/>
    <w:rsid w:val="00ED39BC"/>
    <w:rsid w:val="00EF0C9E"/>
    <w:rsid w:val="00F17E0B"/>
    <w:rsid w:val="00F51395"/>
    <w:rsid w:val="00FC46F4"/>
    <w:rsid w:val="00FF43C1"/>
    <w:rsid w:val="01FCA672"/>
    <w:rsid w:val="09BCDFB3"/>
    <w:rsid w:val="0B7F44CC"/>
    <w:rsid w:val="0FB77A6F"/>
    <w:rsid w:val="0FBD2E78"/>
    <w:rsid w:val="10BFB0F6"/>
    <w:rsid w:val="128E30E4"/>
    <w:rsid w:val="13EBA6AB"/>
    <w:rsid w:val="13EF369A"/>
    <w:rsid w:val="15FBECDB"/>
    <w:rsid w:val="167F30CD"/>
    <w:rsid w:val="16CFF757"/>
    <w:rsid w:val="175F2413"/>
    <w:rsid w:val="1B5EEAB0"/>
    <w:rsid w:val="1BB77410"/>
    <w:rsid w:val="1BFFCC94"/>
    <w:rsid w:val="1CBC5887"/>
    <w:rsid w:val="1D734CEA"/>
    <w:rsid w:val="1DFFCFAD"/>
    <w:rsid w:val="1E57C841"/>
    <w:rsid w:val="1EFD3954"/>
    <w:rsid w:val="1F3EF30B"/>
    <w:rsid w:val="1F5795BE"/>
    <w:rsid w:val="1F7A538F"/>
    <w:rsid w:val="1FBFF865"/>
    <w:rsid w:val="1FDB8A2C"/>
    <w:rsid w:val="1FE1F1EB"/>
    <w:rsid w:val="22DDF1D0"/>
    <w:rsid w:val="25F7B194"/>
    <w:rsid w:val="265FFA32"/>
    <w:rsid w:val="26DF43A0"/>
    <w:rsid w:val="26EF20F1"/>
    <w:rsid w:val="27FA2FF8"/>
    <w:rsid w:val="27FB1D42"/>
    <w:rsid w:val="2ACFA399"/>
    <w:rsid w:val="2AFF2BE4"/>
    <w:rsid w:val="2AFFF916"/>
    <w:rsid w:val="2D7F0FEE"/>
    <w:rsid w:val="2DBE1A3F"/>
    <w:rsid w:val="2DF38A1C"/>
    <w:rsid w:val="2EBE8512"/>
    <w:rsid w:val="2EBFEC01"/>
    <w:rsid w:val="2EF71EBB"/>
    <w:rsid w:val="2EFB8BAC"/>
    <w:rsid w:val="2FDE703F"/>
    <w:rsid w:val="2FFD372B"/>
    <w:rsid w:val="2FFDA200"/>
    <w:rsid w:val="30D72171"/>
    <w:rsid w:val="31AFDF84"/>
    <w:rsid w:val="33DE1CDB"/>
    <w:rsid w:val="34EC009D"/>
    <w:rsid w:val="35A5B8D1"/>
    <w:rsid w:val="35BF3906"/>
    <w:rsid w:val="363FF20A"/>
    <w:rsid w:val="367FAE1C"/>
    <w:rsid w:val="368CCDB3"/>
    <w:rsid w:val="377BCC60"/>
    <w:rsid w:val="377D3652"/>
    <w:rsid w:val="379FEFA4"/>
    <w:rsid w:val="37AF1E78"/>
    <w:rsid w:val="397446E2"/>
    <w:rsid w:val="39FBDB3F"/>
    <w:rsid w:val="3A7DFF20"/>
    <w:rsid w:val="3B7FD0DC"/>
    <w:rsid w:val="3BA70BCB"/>
    <w:rsid w:val="3BB56C9E"/>
    <w:rsid w:val="3BBA4A36"/>
    <w:rsid w:val="3BCCC11C"/>
    <w:rsid w:val="3BD798FC"/>
    <w:rsid w:val="3BDF3263"/>
    <w:rsid w:val="3BFF7B05"/>
    <w:rsid w:val="3C5E1BE7"/>
    <w:rsid w:val="3C7946A2"/>
    <w:rsid w:val="3CEFD712"/>
    <w:rsid w:val="3D5FA08F"/>
    <w:rsid w:val="3D7E4157"/>
    <w:rsid w:val="3D7F8E92"/>
    <w:rsid w:val="3DB57D03"/>
    <w:rsid w:val="3DBD068D"/>
    <w:rsid w:val="3DF5F814"/>
    <w:rsid w:val="3DFDBA63"/>
    <w:rsid w:val="3DFE40C7"/>
    <w:rsid w:val="3E2FF7BE"/>
    <w:rsid w:val="3E7A6E8B"/>
    <w:rsid w:val="3E9FFB8D"/>
    <w:rsid w:val="3EB3B047"/>
    <w:rsid w:val="3EB70839"/>
    <w:rsid w:val="3EBD6DE5"/>
    <w:rsid w:val="3EFB0FFE"/>
    <w:rsid w:val="3EFBFB0A"/>
    <w:rsid w:val="3EFE2E4D"/>
    <w:rsid w:val="3F5EA93B"/>
    <w:rsid w:val="3F6BC362"/>
    <w:rsid w:val="3F7DF513"/>
    <w:rsid w:val="3F7F2E4C"/>
    <w:rsid w:val="3F836E93"/>
    <w:rsid w:val="3F8F7071"/>
    <w:rsid w:val="3FA61DB6"/>
    <w:rsid w:val="3FAA7B34"/>
    <w:rsid w:val="3FBDC919"/>
    <w:rsid w:val="3FC0FBE4"/>
    <w:rsid w:val="3FCF59E6"/>
    <w:rsid w:val="3FCFCF14"/>
    <w:rsid w:val="3FD7974C"/>
    <w:rsid w:val="3FEBAB82"/>
    <w:rsid w:val="3FEE15AC"/>
    <w:rsid w:val="3FEEE219"/>
    <w:rsid w:val="3FF6CCB3"/>
    <w:rsid w:val="3FF74A9B"/>
    <w:rsid w:val="3FF75B5B"/>
    <w:rsid w:val="3FF8439F"/>
    <w:rsid w:val="3FFB2EA5"/>
    <w:rsid w:val="3FFF34DD"/>
    <w:rsid w:val="3FFF58BE"/>
    <w:rsid w:val="44F32C2B"/>
    <w:rsid w:val="44FF258E"/>
    <w:rsid w:val="45FD1340"/>
    <w:rsid w:val="46EF760F"/>
    <w:rsid w:val="47ECCD5B"/>
    <w:rsid w:val="47F5A9A9"/>
    <w:rsid w:val="47F7B3B3"/>
    <w:rsid w:val="49BC2A36"/>
    <w:rsid w:val="4BDD763E"/>
    <w:rsid w:val="4C9751A9"/>
    <w:rsid w:val="4CFC7CB4"/>
    <w:rsid w:val="4D3EA340"/>
    <w:rsid w:val="4DB430D0"/>
    <w:rsid w:val="4F7BE9B7"/>
    <w:rsid w:val="4FB68220"/>
    <w:rsid w:val="4FBFD476"/>
    <w:rsid w:val="4FCFC64A"/>
    <w:rsid w:val="4FD7AFF3"/>
    <w:rsid w:val="4FD92F78"/>
    <w:rsid w:val="4FEDBFCF"/>
    <w:rsid w:val="4FF7743C"/>
    <w:rsid w:val="4FFC1DEC"/>
    <w:rsid w:val="4FFD82DC"/>
    <w:rsid w:val="513FDC54"/>
    <w:rsid w:val="5317792D"/>
    <w:rsid w:val="53EEF9DA"/>
    <w:rsid w:val="54FD39FB"/>
    <w:rsid w:val="557805AC"/>
    <w:rsid w:val="55A31863"/>
    <w:rsid w:val="55E2CB7D"/>
    <w:rsid w:val="55FF272C"/>
    <w:rsid w:val="55FF275A"/>
    <w:rsid w:val="56DF5201"/>
    <w:rsid w:val="56FF2214"/>
    <w:rsid w:val="572D09F6"/>
    <w:rsid w:val="576F0022"/>
    <w:rsid w:val="577FC8EB"/>
    <w:rsid w:val="57A7B951"/>
    <w:rsid w:val="57BED457"/>
    <w:rsid w:val="57E72EC6"/>
    <w:rsid w:val="57E96989"/>
    <w:rsid w:val="57F722D1"/>
    <w:rsid w:val="57F923B6"/>
    <w:rsid w:val="57FA9364"/>
    <w:rsid w:val="57FF9562"/>
    <w:rsid w:val="58637820"/>
    <w:rsid w:val="58747914"/>
    <w:rsid w:val="591DD4F0"/>
    <w:rsid w:val="593D17EE"/>
    <w:rsid w:val="599E94E1"/>
    <w:rsid w:val="59D5A249"/>
    <w:rsid w:val="5A5F391C"/>
    <w:rsid w:val="5A6A563B"/>
    <w:rsid w:val="5A6CD289"/>
    <w:rsid w:val="5AB72AC5"/>
    <w:rsid w:val="5AEB49CF"/>
    <w:rsid w:val="5AED5D95"/>
    <w:rsid w:val="5AEED2F5"/>
    <w:rsid w:val="5BBC39F6"/>
    <w:rsid w:val="5BBEFA8E"/>
    <w:rsid w:val="5BCFD983"/>
    <w:rsid w:val="5BDFB350"/>
    <w:rsid w:val="5BDFCBF1"/>
    <w:rsid w:val="5BEC226B"/>
    <w:rsid w:val="5BEFB696"/>
    <w:rsid w:val="5BFE24BC"/>
    <w:rsid w:val="5CDE12F0"/>
    <w:rsid w:val="5CFE0EAE"/>
    <w:rsid w:val="5D1F9919"/>
    <w:rsid w:val="5D3F3512"/>
    <w:rsid w:val="5D672293"/>
    <w:rsid w:val="5D7FB8F7"/>
    <w:rsid w:val="5DA7CBC9"/>
    <w:rsid w:val="5DF32D02"/>
    <w:rsid w:val="5DF510D6"/>
    <w:rsid w:val="5DFB2979"/>
    <w:rsid w:val="5E7DA396"/>
    <w:rsid w:val="5EAFF376"/>
    <w:rsid w:val="5EB1B2D6"/>
    <w:rsid w:val="5EEF1107"/>
    <w:rsid w:val="5EFF0302"/>
    <w:rsid w:val="5F3E84EB"/>
    <w:rsid w:val="5F3EC2EB"/>
    <w:rsid w:val="5F3F122C"/>
    <w:rsid w:val="5F3F6019"/>
    <w:rsid w:val="5F673195"/>
    <w:rsid w:val="5F8F541B"/>
    <w:rsid w:val="5F9EBFE3"/>
    <w:rsid w:val="5F9F3334"/>
    <w:rsid w:val="5F9F76E1"/>
    <w:rsid w:val="5FABDB5F"/>
    <w:rsid w:val="5FBB2EC5"/>
    <w:rsid w:val="5FBC36F0"/>
    <w:rsid w:val="5FBE0898"/>
    <w:rsid w:val="5FBF546A"/>
    <w:rsid w:val="5FBFEFEC"/>
    <w:rsid w:val="5FC3741C"/>
    <w:rsid w:val="5FC67527"/>
    <w:rsid w:val="5FC9DC49"/>
    <w:rsid w:val="5FD7DA49"/>
    <w:rsid w:val="5FDF0578"/>
    <w:rsid w:val="5FDF52B5"/>
    <w:rsid w:val="5FEB9A33"/>
    <w:rsid w:val="5FF730E1"/>
    <w:rsid w:val="5FFBBF9F"/>
    <w:rsid w:val="5FFF4E2E"/>
    <w:rsid w:val="5FFF5A42"/>
    <w:rsid w:val="61BBA17E"/>
    <w:rsid w:val="635810F3"/>
    <w:rsid w:val="64BB783E"/>
    <w:rsid w:val="652B22C4"/>
    <w:rsid w:val="65DF710C"/>
    <w:rsid w:val="65FD3088"/>
    <w:rsid w:val="6679597B"/>
    <w:rsid w:val="667A7B04"/>
    <w:rsid w:val="66EF4662"/>
    <w:rsid w:val="6737B243"/>
    <w:rsid w:val="67BF9336"/>
    <w:rsid w:val="67C7F71B"/>
    <w:rsid w:val="67DACBAC"/>
    <w:rsid w:val="67DF4025"/>
    <w:rsid w:val="67DFB8E6"/>
    <w:rsid w:val="67E76276"/>
    <w:rsid w:val="67FFE147"/>
    <w:rsid w:val="68B93875"/>
    <w:rsid w:val="6A7F1587"/>
    <w:rsid w:val="6ABDFB7E"/>
    <w:rsid w:val="6ACE16EB"/>
    <w:rsid w:val="6AF5AF30"/>
    <w:rsid w:val="6B4F0596"/>
    <w:rsid w:val="6B5D5866"/>
    <w:rsid w:val="6B5FB1CB"/>
    <w:rsid w:val="6B75C2D9"/>
    <w:rsid w:val="6BAD97C0"/>
    <w:rsid w:val="6BBFFF49"/>
    <w:rsid w:val="6BCBD200"/>
    <w:rsid w:val="6BEB9290"/>
    <w:rsid w:val="6BEBE668"/>
    <w:rsid w:val="6BF52EF9"/>
    <w:rsid w:val="6BF6545E"/>
    <w:rsid w:val="6C7D3775"/>
    <w:rsid w:val="6CFD9BCD"/>
    <w:rsid w:val="6CFF96A5"/>
    <w:rsid w:val="6D7517BD"/>
    <w:rsid w:val="6DAF6F0F"/>
    <w:rsid w:val="6DBFDC34"/>
    <w:rsid w:val="6DC79C4E"/>
    <w:rsid w:val="6DCD1A6A"/>
    <w:rsid w:val="6DDB5C71"/>
    <w:rsid w:val="6DDDB324"/>
    <w:rsid w:val="6DFF2583"/>
    <w:rsid w:val="6DFF4C18"/>
    <w:rsid w:val="6E6787E3"/>
    <w:rsid w:val="6E7F0B6D"/>
    <w:rsid w:val="6EA6E6AF"/>
    <w:rsid w:val="6EDF5068"/>
    <w:rsid w:val="6EEB1425"/>
    <w:rsid w:val="6EF40278"/>
    <w:rsid w:val="6EF7F4F1"/>
    <w:rsid w:val="6EF90E8A"/>
    <w:rsid w:val="6EFF26EE"/>
    <w:rsid w:val="6F1FCB72"/>
    <w:rsid w:val="6F3F4949"/>
    <w:rsid w:val="6F751A5C"/>
    <w:rsid w:val="6F7F9246"/>
    <w:rsid w:val="6F7FF459"/>
    <w:rsid w:val="6F8D7E2F"/>
    <w:rsid w:val="6F974BA1"/>
    <w:rsid w:val="6F9BA30B"/>
    <w:rsid w:val="6FA72025"/>
    <w:rsid w:val="6FB7D947"/>
    <w:rsid w:val="6FD706AA"/>
    <w:rsid w:val="6FDFFFF8"/>
    <w:rsid w:val="6FECB5B3"/>
    <w:rsid w:val="6FF6672B"/>
    <w:rsid w:val="6FFD2C36"/>
    <w:rsid w:val="6FFE2CEE"/>
    <w:rsid w:val="6FFF91AB"/>
    <w:rsid w:val="6FFFC078"/>
    <w:rsid w:val="70FFA01F"/>
    <w:rsid w:val="719FD80B"/>
    <w:rsid w:val="725456C3"/>
    <w:rsid w:val="7277705B"/>
    <w:rsid w:val="72DE9A77"/>
    <w:rsid w:val="737BB35E"/>
    <w:rsid w:val="7395095F"/>
    <w:rsid w:val="73B9D27B"/>
    <w:rsid w:val="73CDAD8D"/>
    <w:rsid w:val="73E7587A"/>
    <w:rsid w:val="73FC2AE7"/>
    <w:rsid w:val="74205F4F"/>
    <w:rsid w:val="746FF676"/>
    <w:rsid w:val="74EFAB91"/>
    <w:rsid w:val="7551F318"/>
    <w:rsid w:val="7575A62C"/>
    <w:rsid w:val="757F2D17"/>
    <w:rsid w:val="757F4B9C"/>
    <w:rsid w:val="758DB2CC"/>
    <w:rsid w:val="75BF8F8D"/>
    <w:rsid w:val="75C59C47"/>
    <w:rsid w:val="75C8982B"/>
    <w:rsid w:val="75D8FF21"/>
    <w:rsid w:val="75ECFE8C"/>
    <w:rsid w:val="75EFBB6C"/>
    <w:rsid w:val="75FF185B"/>
    <w:rsid w:val="766A089D"/>
    <w:rsid w:val="76BF2D6B"/>
    <w:rsid w:val="76BFC0CE"/>
    <w:rsid w:val="76DFA525"/>
    <w:rsid w:val="76EA6037"/>
    <w:rsid w:val="76F72B07"/>
    <w:rsid w:val="76FDAC3C"/>
    <w:rsid w:val="76FEE92F"/>
    <w:rsid w:val="771E01B4"/>
    <w:rsid w:val="7737B34B"/>
    <w:rsid w:val="7746AB40"/>
    <w:rsid w:val="7769609E"/>
    <w:rsid w:val="777F5017"/>
    <w:rsid w:val="779D3046"/>
    <w:rsid w:val="77BEE9DF"/>
    <w:rsid w:val="77C98BF1"/>
    <w:rsid w:val="77CE2E03"/>
    <w:rsid w:val="77DB0661"/>
    <w:rsid w:val="77E443D0"/>
    <w:rsid w:val="77EE92CA"/>
    <w:rsid w:val="77F95066"/>
    <w:rsid w:val="77FB52F4"/>
    <w:rsid w:val="77FD9AC5"/>
    <w:rsid w:val="77FF3A1B"/>
    <w:rsid w:val="782FE374"/>
    <w:rsid w:val="78F757A6"/>
    <w:rsid w:val="78FEE0E0"/>
    <w:rsid w:val="78FF2477"/>
    <w:rsid w:val="791FD0D6"/>
    <w:rsid w:val="79393A61"/>
    <w:rsid w:val="7962A64F"/>
    <w:rsid w:val="797082DC"/>
    <w:rsid w:val="797B3FEA"/>
    <w:rsid w:val="797E61D8"/>
    <w:rsid w:val="797F4A8D"/>
    <w:rsid w:val="79AC9150"/>
    <w:rsid w:val="79B3C29D"/>
    <w:rsid w:val="79BEC5A7"/>
    <w:rsid w:val="79D7C92A"/>
    <w:rsid w:val="79D9BC53"/>
    <w:rsid w:val="79D9C5A6"/>
    <w:rsid w:val="79DBDDA5"/>
    <w:rsid w:val="79DFE019"/>
    <w:rsid w:val="79F767B1"/>
    <w:rsid w:val="79F7D2C6"/>
    <w:rsid w:val="79F9473C"/>
    <w:rsid w:val="79FF09AD"/>
    <w:rsid w:val="7A4D4489"/>
    <w:rsid w:val="7A75246B"/>
    <w:rsid w:val="7A7B7C6C"/>
    <w:rsid w:val="7A7CDA3E"/>
    <w:rsid w:val="7AB33CB6"/>
    <w:rsid w:val="7AB612A0"/>
    <w:rsid w:val="7ABB7F83"/>
    <w:rsid w:val="7AD7F25F"/>
    <w:rsid w:val="7AD9EEC0"/>
    <w:rsid w:val="7ADB6815"/>
    <w:rsid w:val="7ADF0BD5"/>
    <w:rsid w:val="7ADF2CE4"/>
    <w:rsid w:val="7AE7054F"/>
    <w:rsid w:val="7AEF5DB7"/>
    <w:rsid w:val="7AF74239"/>
    <w:rsid w:val="7AF94723"/>
    <w:rsid w:val="7B1BE2EA"/>
    <w:rsid w:val="7B428E7B"/>
    <w:rsid w:val="7B79C8AA"/>
    <w:rsid w:val="7B8BD7E1"/>
    <w:rsid w:val="7B8FCC92"/>
    <w:rsid w:val="7BA90BB4"/>
    <w:rsid w:val="7BBB39C5"/>
    <w:rsid w:val="7BBB5FF4"/>
    <w:rsid w:val="7BBBF254"/>
    <w:rsid w:val="7BC82F5E"/>
    <w:rsid w:val="7BCE4566"/>
    <w:rsid w:val="7BCFD4B5"/>
    <w:rsid w:val="7BDBA338"/>
    <w:rsid w:val="7BDDCB9E"/>
    <w:rsid w:val="7BEB3152"/>
    <w:rsid w:val="7BED5DFA"/>
    <w:rsid w:val="7BEFF9AB"/>
    <w:rsid w:val="7BF35258"/>
    <w:rsid w:val="7BF6336E"/>
    <w:rsid w:val="7BF6AA61"/>
    <w:rsid w:val="7BF7AA4F"/>
    <w:rsid w:val="7BFBDF7C"/>
    <w:rsid w:val="7BFF0E75"/>
    <w:rsid w:val="7BFFC9FC"/>
    <w:rsid w:val="7C99FF2E"/>
    <w:rsid w:val="7C9F1937"/>
    <w:rsid w:val="7CB9D567"/>
    <w:rsid w:val="7CBDF859"/>
    <w:rsid w:val="7CF2A2B8"/>
    <w:rsid w:val="7CFBA67F"/>
    <w:rsid w:val="7D37B8BF"/>
    <w:rsid w:val="7D39BF78"/>
    <w:rsid w:val="7D634387"/>
    <w:rsid w:val="7D9161F6"/>
    <w:rsid w:val="7DBF776D"/>
    <w:rsid w:val="7DBFC4A9"/>
    <w:rsid w:val="7DEF7199"/>
    <w:rsid w:val="7DF58B31"/>
    <w:rsid w:val="7DF6E7A5"/>
    <w:rsid w:val="7DFA27BC"/>
    <w:rsid w:val="7DFB0023"/>
    <w:rsid w:val="7DFD1F52"/>
    <w:rsid w:val="7DFD97B4"/>
    <w:rsid w:val="7DFE34C2"/>
    <w:rsid w:val="7DFF2D98"/>
    <w:rsid w:val="7DFF49F1"/>
    <w:rsid w:val="7DFFD357"/>
    <w:rsid w:val="7DFFEE18"/>
    <w:rsid w:val="7E6E4DA2"/>
    <w:rsid w:val="7E77F18F"/>
    <w:rsid w:val="7E7BF0C4"/>
    <w:rsid w:val="7E7E0242"/>
    <w:rsid w:val="7E7FBBBA"/>
    <w:rsid w:val="7E9DB419"/>
    <w:rsid w:val="7EB3BD85"/>
    <w:rsid w:val="7EB786F5"/>
    <w:rsid w:val="7EBECFC6"/>
    <w:rsid w:val="7EC64EFC"/>
    <w:rsid w:val="7ECF9B4B"/>
    <w:rsid w:val="7EEEBD94"/>
    <w:rsid w:val="7EEEF78E"/>
    <w:rsid w:val="7EEF8F6A"/>
    <w:rsid w:val="7EEFAB70"/>
    <w:rsid w:val="7EF154F2"/>
    <w:rsid w:val="7EF222C0"/>
    <w:rsid w:val="7EF3452F"/>
    <w:rsid w:val="7EF78456"/>
    <w:rsid w:val="7EF7AAE2"/>
    <w:rsid w:val="7EF7D09C"/>
    <w:rsid w:val="7EF7FBEC"/>
    <w:rsid w:val="7EF97AE5"/>
    <w:rsid w:val="7EFB2873"/>
    <w:rsid w:val="7EFC4C46"/>
    <w:rsid w:val="7EFCD703"/>
    <w:rsid w:val="7EFE1646"/>
    <w:rsid w:val="7EFF25D2"/>
    <w:rsid w:val="7EFF6975"/>
    <w:rsid w:val="7EFFB42F"/>
    <w:rsid w:val="7F2E8693"/>
    <w:rsid w:val="7F3ED6C3"/>
    <w:rsid w:val="7F3F7AB4"/>
    <w:rsid w:val="7F3FD25D"/>
    <w:rsid w:val="7F6B63A6"/>
    <w:rsid w:val="7F71A27A"/>
    <w:rsid w:val="7F79530F"/>
    <w:rsid w:val="7F7BAF29"/>
    <w:rsid w:val="7F7DC682"/>
    <w:rsid w:val="7F7E0E49"/>
    <w:rsid w:val="7F7EF344"/>
    <w:rsid w:val="7F7F2907"/>
    <w:rsid w:val="7F7FCE99"/>
    <w:rsid w:val="7F7FE9DC"/>
    <w:rsid w:val="7F8D2036"/>
    <w:rsid w:val="7F8F3DA1"/>
    <w:rsid w:val="7FAF8740"/>
    <w:rsid w:val="7FBD5BD7"/>
    <w:rsid w:val="7FBDD3F6"/>
    <w:rsid w:val="7FBDE334"/>
    <w:rsid w:val="7FBFC3C4"/>
    <w:rsid w:val="7FCE8B7C"/>
    <w:rsid w:val="7FCFC1A6"/>
    <w:rsid w:val="7FD6571B"/>
    <w:rsid w:val="7FDB9A59"/>
    <w:rsid w:val="7FDD1239"/>
    <w:rsid w:val="7FDDAA1E"/>
    <w:rsid w:val="7FDF11BD"/>
    <w:rsid w:val="7FDF2A93"/>
    <w:rsid w:val="7FDFE962"/>
    <w:rsid w:val="7FE708BD"/>
    <w:rsid w:val="7FEAE7D3"/>
    <w:rsid w:val="7FEDA887"/>
    <w:rsid w:val="7FEDFD6D"/>
    <w:rsid w:val="7FEE3CEC"/>
    <w:rsid w:val="7FEF0A85"/>
    <w:rsid w:val="7FEF4F75"/>
    <w:rsid w:val="7FEF8AF7"/>
    <w:rsid w:val="7FF44169"/>
    <w:rsid w:val="7FF501AD"/>
    <w:rsid w:val="7FFB02B9"/>
    <w:rsid w:val="7FFB1C55"/>
    <w:rsid w:val="7FFB2D8E"/>
    <w:rsid w:val="7FFB3886"/>
    <w:rsid w:val="7FFB3991"/>
    <w:rsid w:val="7FFB58EA"/>
    <w:rsid w:val="7FFB83A9"/>
    <w:rsid w:val="7FFC86CE"/>
    <w:rsid w:val="7FFE23E2"/>
    <w:rsid w:val="7FFE4105"/>
    <w:rsid w:val="7FFEEDA0"/>
    <w:rsid w:val="7FFF0BA8"/>
    <w:rsid w:val="7FFF8442"/>
    <w:rsid w:val="83B95D09"/>
    <w:rsid w:val="85DA71E0"/>
    <w:rsid w:val="8DB4AED1"/>
    <w:rsid w:val="8FBE0F48"/>
    <w:rsid w:val="916FD03B"/>
    <w:rsid w:val="93CB1DC6"/>
    <w:rsid w:val="93FFDE4F"/>
    <w:rsid w:val="95EBFDC9"/>
    <w:rsid w:val="9625E12E"/>
    <w:rsid w:val="97EB68FB"/>
    <w:rsid w:val="97EE85D5"/>
    <w:rsid w:val="993E726E"/>
    <w:rsid w:val="9B55EE51"/>
    <w:rsid w:val="9BFC88DB"/>
    <w:rsid w:val="9BFD4921"/>
    <w:rsid w:val="9C766CC5"/>
    <w:rsid w:val="9C9333BB"/>
    <w:rsid w:val="9CAF3FC8"/>
    <w:rsid w:val="9DED261B"/>
    <w:rsid w:val="9EEF4F9E"/>
    <w:rsid w:val="9EFF524A"/>
    <w:rsid w:val="9F3F8290"/>
    <w:rsid w:val="9F73A336"/>
    <w:rsid w:val="9FB32079"/>
    <w:rsid w:val="9FB7B4E4"/>
    <w:rsid w:val="9FDC9108"/>
    <w:rsid w:val="9FDE5CBE"/>
    <w:rsid w:val="9FEBDEF8"/>
    <w:rsid w:val="9FFD7FB0"/>
    <w:rsid w:val="9FFFBADD"/>
    <w:rsid w:val="A2F99157"/>
    <w:rsid w:val="A39BAAB1"/>
    <w:rsid w:val="A5CB587D"/>
    <w:rsid w:val="A5F41FDB"/>
    <w:rsid w:val="A5F48A0D"/>
    <w:rsid w:val="A6FF3876"/>
    <w:rsid w:val="A73F86C4"/>
    <w:rsid w:val="A752EB18"/>
    <w:rsid w:val="A789F61B"/>
    <w:rsid w:val="A7D50842"/>
    <w:rsid w:val="A9BE1204"/>
    <w:rsid w:val="AB3717CA"/>
    <w:rsid w:val="ABDF07E6"/>
    <w:rsid w:val="ABFFEE9D"/>
    <w:rsid w:val="AE674D76"/>
    <w:rsid w:val="AEFB958A"/>
    <w:rsid w:val="AF2D1F8F"/>
    <w:rsid w:val="AFBF9A55"/>
    <w:rsid w:val="AFDF689A"/>
    <w:rsid w:val="AFE5CBDB"/>
    <w:rsid w:val="AFF6E22F"/>
    <w:rsid w:val="AFFEE2F1"/>
    <w:rsid w:val="AFFF3A19"/>
    <w:rsid w:val="B0F764BD"/>
    <w:rsid w:val="B2BB8E0D"/>
    <w:rsid w:val="B37FA331"/>
    <w:rsid w:val="B547952C"/>
    <w:rsid w:val="B5DF74AB"/>
    <w:rsid w:val="B5E74D37"/>
    <w:rsid w:val="B5E772CE"/>
    <w:rsid w:val="B6BF4928"/>
    <w:rsid w:val="B6FD33B0"/>
    <w:rsid w:val="B73DC1C2"/>
    <w:rsid w:val="B73F564B"/>
    <w:rsid w:val="B77FDF70"/>
    <w:rsid w:val="B7BF39BF"/>
    <w:rsid w:val="B7DFE56C"/>
    <w:rsid w:val="B7EEB43A"/>
    <w:rsid w:val="B7F24D32"/>
    <w:rsid w:val="B7FF23F9"/>
    <w:rsid w:val="B8ADF957"/>
    <w:rsid w:val="B98FC13B"/>
    <w:rsid w:val="B9DFFBCD"/>
    <w:rsid w:val="B9FB5B61"/>
    <w:rsid w:val="B9FE1D2F"/>
    <w:rsid w:val="BA6FF3EA"/>
    <w:rsid w:val="BAF9AEDA"/>
    <w:rsid w:val="BAFF0D37"/>
    <w:rsid w:val="BB4D0DDF"/>
    <w:rsid w:val="BB5B8BB8"/>
    <w:rsid w:val="BB776315"/>
    <w:rsid w:val="BB7F4F12"/>
    <w:rsid w:val="BBFF562D"/>
    <w:rsid w:val="BBFFC488"/>
    <w:rsid w:val="BC26933E"/>
    <w:rsid w:val="BD696B1A"/>
    <w:rsid w:val="BDB2B028"/>
    <w:rsid w:val="BDBB64D7"/>
    <w:rsid w:val="BDD9E835"/>
    <w:rsid w:val="BDE5B4F4"/>
    <w:rsid w:val="BDEF145F"/>
    <w:rsid w:val="BDFD2B4F"/>
    <w:rsid w:val="BDFE002B"/>
    <w:rsid w:val="BDFE94B1"/>
    <w:rsid w:val="BDFFA043"/>
    <w:rsid w:val="BE9B961D"/>
    <w:rsid w:val="BE9F9EB8"/>
    <w:rsid w:val="BEBF765C"/>
    <w:rsid w:val="BEEB77E2"/>
    <w:rsid w:val="BEF4EA20"/>
    <w:rsid w:val="BEF75C47"/>
    <w:rsid w:val="BEF9A6FD"/>
    <w:rsid w:val="BEFDE6FD"/>
    <w:rsid w:val="BEFE3F6A"/>
    <w:rsid w:val="BF4EEB80"/>
    <w:rsid w:val="BF5DA664"/>
    <w:rsid w:val="BF5FF1D3"/>
    <w:rsid w:val="BF6C17DB"/>
    <w:rsid w:val="BF6D1FF1"/>
    <w:rsid w:val="BF778DD3"/>
    <w:rsid w:val="BF7DEE32"/>
    <w:rsid w:val="BF9F1F15"/>
    <w:rsid w:val="BFA24893"/>
    <w:rsid w:val="BFAF2C1A"/>
    <w:rsid w:val="BFB3928A"/>
    <w:rsid w:val="BFBD9B14"/>
    <w:rsid w:val="BFBF89F4"/>
    <w:rsid w:val="BFBFFEA6"/>
    <w:rsid w:val="BFCFB0AB"/>
    <w:rsid w:val="BFDB9428"/>
    <w:rsid w:val="BFDEE14F"/>
    <w:rsid w:val="BFF21064"/>
    <w:rsid w:val="BFF61A92"/>
    <w:rsid w:val="BFF6750D"/>
    <w:rsid w:val="BFF71F04"/>
    <w:rsid w:val="BFFB7A00"/>
    <w:rsid w:val="BFFDE325"/>
    <w:rsid w:val="BFFE4B6F"/>
    <w:rsid w:val="BFFE7E20"/>
    <w:rsid w:val="BFFED359"/>
    <w:rsid w:val="BFFFB4FA"/>
    <w:rsid w:val="BFFFBC51"/>
    <w:rsid w:val="C2FE69B6"/>
    <w:rsid w:val="C3515BC2"/>
    <w:rsid w:val="C7B7ACB3"/>
    <w:rsid w:val="C7F772B6"/>
    <w:rsid w:val="C8BC0A18"/>
    <w:rsid w:val="C8DD741F"/>
    <w:rsid w:val="C9EBE882"/>
    <w:rsid w:val="C9FFC332"/>
    <w:rsid w:val="CBBEC587"/>
    <w:rsid w:val="CC7F43CF"/>
    <w:rsid w:val="CDB7AF88"/>
    <w:rsid w:val="CDFD5470"/>
    <w:rsid w:val="CEB16D8C"/>
    <w:rsid w:val="CECE21E7"/>
    <w:rsid w:val="CEEBD996"/>
    <w:rsid w:val="CEEE80AA"/>
    <w:rsid w:val="CF7EE622"/>
    <w:rsid w:val="CF7F3770"/>
    <w:rsid w:val="CF927287"/>
    <w:rsid w:val="CFAEDB73"/>
    <w:rsid w:val="CFC9C533"/>
    <w:rsid w:val="CFD6612B"/>
    <w:rsid w:val="CFE5C8DC"/>
    <w:rsid w:val="CFEDB706"/>
    <w:rsid w:val="CFFFD581"/>
    <w:rsid w:val="D0F36AA3"/>
    <w:rsid w:val="D12E2258"/>
    <w:rsid w:val="D37BC3AC"/>
    <w:rsid w:val="D4EF412D"/>
    <w:rsid w:val="D56D1D6E"/>
    <w:rsid w:val="D56D258C"/>
    <w:rsid w:val="D5FE7067"/>
    <w:rsid w:val="D69E8F25"/>
    <w:rsid w:val="D6D21478"/>
    <w:rsid w:val="D6EBE307"/>
    <w:rsid w:val="D6F76FD4"/>
    <w:rsid w:val="D7BE348E"/>
    <w:rsid w:val="D7DBE468"/>
    <w:rsid w:val="D7DDD691"/>
    <w:rsid w:val="D7EE3F35"/>
    <w:rsid w:val="D7FB420C"/>
    <w:rsid w:val="D7FEE0C6"/>
    <w:rsid w:val="D7FF9C88"/>
    <w:rsid w:val="D8FF3447"/>
    <w:rsid w:val="D9CF67D3"/>
    <w:rsid w:val="D9E758A7"/>
    <w:rsid w:val="DADB7DF2"/>
    <w:rsid w:val="DB5C5992"/>
    <w:rsid w:val="DB6878C3"/>
    <w:rsid w:val="DB7F42FA"/>
    <w:rsid w:val="DB7FD45B"/>
    <w:rsid w:val="DBAF02BD"/>
    <w:rsid w:val="DBBFAD95"/>
    <w:rsid w:val="DBD9B18C"/>
    <w:rsid w:val="DBDF603F"/>
    <w:rsid w:val="DBDF8DDD"/>
    <w:rsid w:val="DBDFADED"/>
    <w:rsid w:val="DBF7922D"/>
    <w:rsid w:val="DBFD2ABB"/>
    <w:rsid w:val="DC2B7E69"/>
    <w:rsid w:val="DC9C399D"/>
    <w:rsid w:val="DCFBE0E6"/>
    <w:rsid w:val="DCFDB4E3"/>
    <w:rsid w:val="DD57F882"/>
    <w:rsid w:val="DD8F57F8"/>
    <w:rsid w:val="DD9FC408"/>
    <w:rsid w:val="DDB75639"/>
    <w:rsid w:val="DDBF55F3"/>
    <w:rsid w:val="DDE7BAE5"/>
    <w:rsid w:val="DDFF1C79"/>
    <w:rsid w:val="DDFF569C"/>
    <w:rsid w:val="DDFF7CCC"/>
    <w:rsid w:val="DE3B1449"/>
    <w:rsid w:val="DE6792D4"/>
    <w:rsid w:val="DECD1644"/>
    <w:rsid w:val="DEEB12EA"/>
    <w:rsid w:val="DEFFE31D"/>
    <w:rsid w:val="DF125A26"/>
    <w:rsid w:val="DF49CF62"/>
    <w:rsid w:val="DF5FF25C"/>
    <w:rsid w:val="DF98D67D"/>
    <w:rsid w:val="DF9F7267"/>
    <w:rsid w:val="DFA12698"/>
    <w:rsid w:val="DFB30366"/>
    <w:rsid w:val="DFB319DA"/>
    <w:rsid w:val="DFBB1AE1"/>
    <w:rsid w:val="DFBF7485"/>
    <w:rsid w:val="DFD371E3"/>
    <w:rsid w:val="DFDF4F7B"/>
    <w:rsid w:val="DFE3A4ED"/>
    <w:rsid w:val="DFE8F0CD"/>
    <w:rsid w:val="DFEB2AB4"/>
    <w:rsid w:val="DFEF17E3"/>
    <w:rsid w:val="DFEFE002"/>
    <w:rsid w:val="DFEFF5FB"/>
    <w:rsid w:val="DFFB6BD1"/>
    <w:rsid w:val="DFFBB681"/>
    <w:rsid w:val="DFFD28DC"/>
    <w:rsid w:val="DFFDDCDC"/>
    <w:rsid w:val="DFFF0BA3"/>
    <w:rsid w:val="DFFF6A03"/>
    <w:rsid w:val="E0470543"/>
    <w:rsid w:val="E2B39736"/>
    <w:rsid w:val="E2FF44D7"/>
    <w:rsid w:val="E3DF160E"/>
    <w:rsid w:val="E3EE88F4"/>
    <w:rsid w:val="E3FF0D10"/>
    <w:rsid w:val="E4777100"/>
    <w:rsid w:val="E5BD448E"/>
    <w:rsid w:val="E5E7230D"/>
    <w:rsid w:val="E5FF8E90"/>
    <w:rsid w:val="E66E583B"/>
    <w:rsid w:val="E6DFC366"/>
    <w:rsid w:val="E73AEE64"/>
    <w:rsid w:val="E77F8D02"/>
    <w:rsid w:val="E7937334"/>
    <w:rsid w:val="E7B2A7A1"/>
    <w:rsid w:val="E7DB837D"/>
    <w:rsid w:val="E7DFEF43"/>
    <w:rsid w:val="E7EDF3F7"/>
    <w:rsid w:val="E8C32368"/>
    <w:rsid w:val="E99BA401"/>
    <w:rsid w:val="E9CF6D73"/>
    <w:rsid w:val="E9FB054C"/>
    <w:rsid w:val="EAF71609"/>
    <w:rsid w:val="EB5F06D4"/>
    <w:rsid w:val="EB9F8CDA"/>
    <w:rsid w:val="EBEFBEC3"/>
    <w:rsid w:val="ECBC275B"/>
    <w:rsid w:val="ECEF128A"/>
    <w:rsid w:val="ECFBE94F"/>
    <w:rsid w:val="ECFDC094"/>
    <w:rsid w:val="ECFF22A0"/>
    <w:rsid w:val="ED3703C5"/>
    <w:rsid w:val="ED7D2DBA"/>
    <w:rsid w:val="ED7F63AC"/>
    <w:rsid w:val="EDBFFA88"/>
    <w:rsid w:val="EDCE06EF"/>
    <w:rsid w:val="EDE15E37"/>
    <w:rsid w:val="EDF65CB6"/>
    <w:rsid w:val="EDF79695"/>
    <w:rsid w:val="EDFFF69A"/>
    <w:rsid w:val="EE7A96A8"/>
    <w:rsid w:val="EEBE1533"/>
    <w:rsid w:val="EEDD3D58"/>
    <w:rsid w:val="EEEF97D2"/>
    <w:rsid w:val="EEFC7F66"/>
    <w:rsid w:val="EEFEFC79"/>
    <w:rsid w:val="EF2BD0B9"/>
    <w:rsid w:val="EF3E4AB2"/>
    <w:rsid w:val="EF5BFEDA"/>
    <w:rsid w:val="EF7D6581"/>
    <w:rsid w:val="EF7EEBCF"/>
    <w:rsid w:val="EF7FBFC7"/>
    <w:rsid w:val="EF9D7D1C"/>
    <w:rsid w:val="EF9DD069"/>
    <w:rsid w:val="EFAFC2B7"/>
    <w:rsid w:val="EFB4E38B"/>
    <w:rsid w:val="EFB6D9E4"/>
    <w:rsid w:val="EFCD3A4D"/>
    <w:rsid w:val="EFDC3932"/>
    <w:rsid w:val="EFF58A63"/>
    <w:rsid w:val="EFF5E409"/>
    <w:rsid w:val="EFF64D84"/>
    <w:rsid w:val="EFF76CD9"/>
    <w:rsid w:val="EFFE0295"/>
    <w:rsid w:val="EFFEADCC"/>
    <w:rsid w:val="EFFEF9C9"/>
    <w:rsid w:val="EFFF446B"/>
    <w:rsid w:val="F03F63B0"/>
    <w:rsid w:val="F29D1083"/>
    <w:rsid w:val="F2CEF3A2"/>
    <w:rsid w:val="F2DEA9C1"/>
    <w:rsid w:val="F2EE7995"/>
    <w:rsid w:val="F2EFA229"/>
    <w:rsid w:val="F31EEDF1"/>
    <w:rsid w:val="F33567DD"/>
    <w:rsid w:val="F33BA49E"/>
    <w:rsid w:val="F33E9589"/>
    <w:rsid w:val="F37BB183"/>
    <w:rsid w:val="F3DB296B"/>
    <w:rsid w:val="F3DED4D8"/>
    <w:rsid w:val="F3F2F1E4"/>
    <w:rsid w:val="F3F9EEBA"/>
    <w:rsid w:val="F439E6C9"/>
    <w:rsid w:val="F4F7F63F"/>
    <w:rsid w:val="F4FFC5B9"/>
    <w:rsid w:val="F51F6938"/>
    <w:rsid w:val="F5779C7D"/>
    <w:rsid w:val="F5BD30AC"/>
    <w:rsid w:val="F5F6C942"/>
    <w:rsid w:val="F5FE581E"/>
    <w:rsid w:val="F5FFC816"/>
    <w:rsid w:val="F65D502E"/>
    <w:rsid w:val="F677C9D6"/>
    <w:rsid w:val="F67F5205"/>
    <w:rsid w:val="F6BF5B54"/>
    <w:rsid w:val="F6BFC167"/>
    <w:rsid w:val="F6EB4C23"/>
    <w:rsid w:val="F6F80C0A"/>
    <w:rsid w:val="F6FF2DE2"/>
    <w:rsid w:val="F72F8CFE"/>
    <w:rsid w:val="F73D6AD8"/>
    <w:rsid w:val="F73F6F16"/>
    <w:rsid w:val="F73FA278"/>
    <w:rsid w:val="F75F0567"/>
    <w:rsid w:val="F76DC5A1"/>
    <w:rsid w:val="F78FD311"/>
    <w:rsid w:val="F79D3563"/>
    <w:rsid w:val="F7B35F79"/>
    <w:rsid w:val="F7C75C8C"/>
    <w:rsid w:val="F7D5AAF9"/>
    <w:rsid w:val="F7D7E232"/>
    <w:rsid w:val="F7DF05D2"/>
    <w:rsid w:val="F7EB8B45"/>
    <w:rsid w:val="F7EBF992"/>
    <w:rsid w:val="F7EF1A30"/>
    <w:rsid w:val="F7FB7B2F"/>
    <w:rsid w:val="F7FD2FFE"/>
    <w:rsid w:val="F7FE109A"/>
    <w:rsid w:val="F7FEF40A"/>
    <w:rsid w:val="F7FF0AD0"/>
    <w:rsid w:val="F7FF6A7C"/>
    <w:rsid w:val="F7FF90BB"/>
    <w:rsid w:val="F7FFA0C6"/>
    <w:rsid w:val="F7FFEB26"/>
    <w:rsid w:val="F8BD6165"/>
    <w:rsid w:val="F8D6C365"/>
    <w:rsid w:val="F8F60934"/>
    <w:rsid w:val="F9DB9EFD"/>
    <w:rsid w:val="F9DE2EDE"/>
    <w:rsid w:val="F9E3A7A2"/>
    <w:rsid w:val="F9EED445"/>
    <w:rsid w:val="F9F557C9"/>
    <w:rsid w:val="FA1D3572"/>
    <w:rsid w:val="FA6F70CD"/>
    <w:rsid w:val="FA7FADF4"/>
    <w:rsid w:val="FADE964F"/>
    <w:rsid w:val="FAF7CBC9"/>
    <w:rsid w:val="FAF7FBE6"/>
    <w:rsid w:val="FB1B4420"/>
    <w:rsid w:val="FB3DF010"/>
    <w:rsid w:val="FB4E50EF"/>
    <w:rsid w:val="FB5E696F"/>
    <w:rsid w:val="FB710200"/>
    <w:rsid w:val="FB7B1DB4"/>
    <w:rsid w:val="FB9FE249"/>
    <w:rsid w:val="FBB7ED83"/>
    <w:rsid w:val="FBBEF814"/>
    <w:rsid w:val="FBBF0CF2"/>
    <w:rsid w:val="FBBFDFFB"/>
    <w:rsid w:val="FBDD468F"/>
    <w:rsid w:val="FBDFC3BE"/>
    <w:rsid w:val="FBE4540D"/>
    <w:rsid w:val="FBEBD612"/>
    <w:rsid w:val="FBEC8B8E"/>
    <w:rsid w:val="FBF7AA5E"/>
    <w:rsid w:val="FBF949AF"/>
    <w:rsid w:val="FBFD0D18"/>
    <w:rsid w:val="FBFD4F1E"/>
    <w:rsid w:val="FBFE145B"/>
    <w:rsid w:val="FBFF2A98"/>
    <w:rsid w:val="FBFFE114"/>
    <w:rsid w:val="FC6FAFCE"/>
    <w:rsid w:val="FC7E559D"/>
    <w:rsid w:val="FCAF1D15"/>
    <w:rsid w:val="FCCB092F"/>
    <w:rsid w:val="FCD7D36E"/>
    <w:rsid w:val="FCE52999"/>
    <w:rsid w:val="FCEFB1C5"/>
    <w:rsid w:val="FCFD54A2"/>
    <w:rsid w:val="FD2D96AE"/>
    <w:rsid w:val="FD5FA416"/>
    <w:rsid w:val="FD5FC43E"/>
    <w:rsid w:val="FD6B448C"/>
    <w:rsid w:val="FD7B8E2F"/>
    <w:rsid w:val="FD7F5B16"/>
    <w:rsid w:val="FD7F686C"/>
    <w:rsid w:val="FD8FD683"/>
    <w:rsid w:val="FD9F8819"/>
    <w:rsid w:val="FDB5B455"/>
    <w:rsid w:val="FDBC5156"/>
    <w:rsid w:val="FDBFB2F5"/>
    <w:rsid w:val="FDDE9564"/>
    <w:rsid w:val="FDEDB6B4"/>
    <w:rsid w:val="FDFE4EB5"/>
    <w:rsid w:val="FDFFB342"/>
    <w:rsid w:val="FDFFBD07"/>
    <w:rsid w:val="FDFFCB21"/>
    <w:rsid w:val="FE37C261"/>
    <w:rsid w:val="FE5B538D"/>
    <w:rsid w:val="FE6F87A5"/>
    <w:rsid w:val="FE77B7F2"/>
    <w:rsid w:val="FE793FC3"/>
    <w:rsid w:val="FE7D6F1F"/>
    <w:rsid w:val="FEAF749B"/>
    <w:rsid w:val="FEBF36F0"/>
    <w:rsid w:val="FEBF9B06"/>
    <w:rsid w:val="FEDD6962"/>
    <w:rsid w:val="FEEB66C5"/>
    <w:rsid w:val="FEEF4A74"/>
    <w:rsid w:val="FEF24159"/>
    <w:rsid w:val="FEF66156"/>
    <w:rsid w:val="FEF7F856"/>
    <w:rsid w:val="FEFA0C4F"/>
    <w:rsid w:val="FEFBC7D2"/>
    <w:rsid w:val="FEFBE90B"/>
    <w:rsid w:val="FEFDA127"/>
    <w:rsid w:val="FEFE6653"/>
    <w:rsid w:val="FEFEC8CE"/>
    <w:rsid w:val="FEFEF6E0"/>
    <w:rsid w:val="FEFFEB34"/>
    <w:rsid w:val="FF07408E"/>
    <w:rsid w:val="FF340336"/>
    <w:rsid w:val="FF3F2847"/>
    <w:rsid w:val="FF3FC58C"/>
    <w:rsid w:val="FF4582E0"/>
    <w:rsid w:val="FF4F9DBD"/>
    <w:rsid w:val="FF531896"/>
    <w:rsid w:val="FF55B768"/>
    <w:rsid w:val="FF5E05ED"/>
    <w:rsid w:val="FF5EE6D1"/>
    <w:rsid w:val="FF65CFD2"/>
    <w:rsid w:val="FF69F812"/>
    <w:rsid w:val="FF6EBFA5"/>
    <w:rsid w:val="FF6F9B3A"/>
    <w:rsid w:val="FF76FC97"/>
    <w:rsid w:val="FF772451"/>
    <w:rsid w:val="FF776451"/>
    <w:rsid w:val="FF7B0991"/>
    <w:rsid w:val="FF7B39DF"/>
    <w:rsid w:val="FF7CD401"/>
    <w:rsid w:val="FF7FAAA9"/>
    <w:rsid w:val="FF8E18A9"/>
    <w:rsid w:val="FF8F862E"/>
    <w:rsid w:val="FF978812"/>
    <w:rsid w:val="FF9DE22E"/>
    <w:rsid w:val="FF9F03FB"/>
    <w:rsid w:val="FFA31FE3"/>
    <w:rsid w:val="FFA798F2"/>
    <w:rsid w:val="FFAD4457"/>
    <w:rsid w:val="FFBBA162"/>
    <w:rsid w:val="FFBBA843"/>
    <w:rsid w:val="FFBD7579"/>
    <w:rsid w:val="FFBEADD0"/>
    <w:rsid w:val="FFD1975C"/>
    <w:rsid w:val="FFD90CAD"/>
    <w:rsid w:val="FFDB202C"/>
    <w:rsid w:val="FFDD1BF7"/>
    <w:rsid w:val="FFDDB29B"/>
    <w:rsid w:val="FFDDC5E9"/>
    <w:rsid w:val="FFDE5881"/>
    <w:rsid w:val="FFDF2C7D"/>
    <w:rsid w:val="FFDF4C67"/>
    <w:rsid w:val="FFE3C7BC"/>
    <w:rsid w:val="FFE762EE"/>
    <w:rsid w:val="FFEBB98E"/>
    <w:rsid w:val="FFEF507A"/>
    <w:rsid w:val="FFF1D54B"/>
    <w:rsid w:val="FFF3F9D9"/>
    <w:rsid w:val="FFF42F5D"/>
    <w:rsid w:val="FFF6DCAC"/>
    <w:rsid w:val="FFF72221"/>
    <w:rsid w:val="FFF73259"/>
    <w:rsid w:val="FFF7E892"/>
    <w:rsid w:val="FFFA9737"/>
    <w:rsid w:val="FFFB1548"/>
    <w:rsid w:val="FFFB1EF0"/>
    <w:rsid w:val="FFFB740A"/>
    <w:rsid w:val="FFFD5A54"/>
    <w:rsid w:val="FFFDACF1"/>
    <w:rsid w:val="FFFDEFC5"/>
    <w:rsid w:val="FFFEE089"/>
    <w:rsid w:val="FFFF26DD"/>
    <w:rsid w:val="FFFFB003"/>
    <w:rsid w:val="FFFFB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paragraph" w:styleId="3">
    <w:name w:val="Body Text"/>
    <w:basedOn w:val="1"/>
    <w:next w:val="1"/>
    <w:unhideWhenUsed/>
    <w:qFormat/>
    <w:uiPriority w:val="99"/>
    <w:rPr>
      <w:rFonts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toc 2"/>
    <w:basedOn w:val="1"/>
    <w:next w:val="1"/>
    <w:unhideWhenUsed/>
    <w:qFormat/>
    <w:uiPriority w:val="39"/>
    <w:pPr>
      <w:ind w:left="420" w:leftChars="200"/>
    </w:p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paragraph" w:customStyle="1" w:styleId="12">
    <w:name w:val="WPSOffice手动目录 1"/>
    <w:qFormat/>
    <w:uiPriority w:val="0"/>
    <w:pPr>
      <w:ind w:leftChars="0"/>
    </w:pPr>
    <w:rPr>
      <w:rFonts w:ascii="Calibri" w:hAnsi="Calibri" w:eastAsia="宋体" w:cs="Times New Roman"/>
      <w:sz w:val="20"/>
      <w:szCs w:val="20"/>
    </w:rPr>
  </w:style>
  <w:style w:type="paragraph" w:customStyle="1" w:styleId="13">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14</Pages>
  <Words>4530</Words>
  <Characters>4677</Characters>
  <Lines>25</Lines>
  <Paragraphs>7</Paragraphs>
  <TotalTime>1</TotalTime>
  <ScaleCrop>false</ScaleCrop>
  <LinksUpToDate>false</LinksUpToDate>
  <CharactersWithSpaces>4760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2023-12-30T23:07:00Z</dcterms:created>
  <dc:creator>user</dc:creator>
  <cp:lastModifiedBy>user</cp:lastModifiedBy>
  <cp:lastPrinted>2025-04-01T16:12:00Z</cp:lastPrinted>
  <dcterms:modified xsi:type="dcterms:W3CDTF">2025-04-17T12:09:30Z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2FF1EFF6BA1148A8A29C868EFCC0FD99_13</vt:lpwstr>
  </property>
</Properties>
</file>