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5EC1E94C">
      <w:pPr>
        <w:jc w:val="center"/>
        <w:rPr>
          <w:rFonts w:ascii="黑体" w:eastAsia="黑体"/>
          <w:sz w:val="72"/>
          <w:szCs w:val="72"/>
        </w:rPr>
      </w:pPr>
      <w:r>
        <w:rPr>
          <w:rFonts w:hint="eastAsia" w:ascii="黑体" w:eastAsia="黑体"/>
          <w:sz w:val="72"/>
          <w:szCs w:val="72"/>
          <w:lang w:eastAsia="zh-CN"/>
        </w:rPr>
        <w:t>北京大兴国际机场建设综合服务中心</w:t>
      </w: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0EB73226">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w:t>
      </w:r>
      <w:r>
        <w:rPr>
          <w:rFonts w:hint="eastAsia" w:ascii="仿宋_GB2312" w:hAnsi="Times New Roman" w:eastAsia="仿宋_GB2312" w:cs="Times New Roman"/>
          <w:kern w:val="0"/>
          <w:sz w:val="28"/>
          <w:szCs w:val="28"/>
        </w:rPr>
        <w:t>机构设置情况：北京大兴国际机场建设综合服务中心为北京新机场建设大兴区筹备办公室下属全额拨款科级事业单位，科室设置跟随机场办，未单独设立科室。</w:t>
      </w:r>
      <w:r>
        <w:rPr>
          <w:rFonts w:hint="eastAsia" w:ascii="仿宋_GB2312" w:hAnsi="Times New Roman" w:eastAsia="仿宋_GB2312" w:cs="Times New Roman"/>
          <w:kern w:val="0"/>
          <w:sz w:val="28"/>
          <w:szCs w:val="28"/>
          <w:lang w:val="en-US" w:eastAsia="zh-CN"/>
        </w:rPr>
        <w:t>本</w:t>
      </w:r>
      <w:r>
        <w:rPr>
          <w:rFonts w:hint="eastAsia" w:ascii="仿宋_GB2312" w:hAnsi="Times New Roman" w:eastAsia="仿宋_GB2312" w:cs="Times New Roman"/>
          <w:kern w:val="0"/>
          <w:sz w:val="28"/>
          <w:szCs w:val="28"/>
          <w:lang w:eastAsia="zh-CN"/>
        </w:rPr>
        <w:t>单位</w:t>
      </w:r>
      <w:r>
        <w:rPr>
          <w:rFonts w:hint="eastAsia" w:ascii="仿宋_GB2312" w:hAnsi="Times New Roman" w:eastAsia="仿宋_GB2312" w:cs="Times New Roman"/>
          <w:kern w:val="0"/>
          <w:sz w:val="28"/>
          <w:szCs w:val="28"/>
        </w:rPr>
        <w:t>职责：北京大兴国际机场建设综合服务中心负责为新机场建设各施工企业、商贸企业提供服务；负责为各建筑施工企业提供生活服务保障；负责为首都机场集团、各大航空公司、航油、航食等企业注册、办公、生活基地建设提供服务；负责协助新机场筹备办各部室开展工作等</w:t>
      </w:r>
      <w:r>
        <w:rPr>
          <w:rFonts w:hint="eastAsia" w:ascii="仿宋_GB2312" w:hAnsi="Times New Roman" w:eastAsia="仿宋_GB2312" w:cs="Times New Roman"/>
          <w:kern w:val="0"/>
          <w:sz w:val="28"/>
          <w:szCs w:val="28"/>
          <w:lang w:eastAsia="zh-CN"/>
        </w:rPr>
        <w:t>。</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349.1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40.57</w:t>
      </w:r>
      <w:r>
        <w:rPr>
          <w:rFonts w:hint="eastAsia" w:ascii="仿宋_GB2312" w:eastAsia="仿宋_GB2312"/>
          <w:sz w:val="28"/>
          <w:szCs w:val="28"/>
        </w:rPr>
        <w:t>万元，增长</w:t>
      </w:r>
      <w:r>
        <w:rPr>
          <w:rFonts w:hint="eastAsia" w:ascii="仿宋_GB2312" w:eastAsia="仿宋_GB2312"/>
          <w:sz w:val="28"/>
          <w:szCs w:val="28"/>
          <w:lang w:val="en-US" w:eastAsia="zh-CN"/>
        </w:rPr>
        <w:t>13.15</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311.47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2.94</w:t>
      </w:r>
      <w:r>
        <w:rPr>
          <w:rFonts w:hint="eastAsia" w:ascii="仿宋_GB2312" w:eastAsia="仿宋_GB2312"/>
          <w:sz w:val="28"/>
          <w:szCs w:val="28"/>
        </w:rPr>
        <w:t>万元，增长</w:t>
      </w:r>
      <w:r>
        <w:rPr>
          <w:rFonts w:hint="eastAsia" w:ascii="仿宋_GB2312" w:eastAsia="仿宋_GB2312"/>
          <w:sz w:val="28"/>
          <w:szCs w:val="28"/>
          <w:lang w:val="en-US" w:eastAsia="zh-CN"/>
        </w:rPr>
        <w:t>0.95</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311.47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311.47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349.1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40.57</w:t>
      </w:r>
      <w:r>
        <w:rPr>
          <w:rFonts w:hint="eastAsia" w:ascii="仿宋_GB2312" w:eastAsia="仿宋_GB2312"/>
          <w:sz w:val="28"/>
          <w:szCs w:val="28"/>
        </w:rPr>
        <w:t>万元，增长</w:t>
      </w:r>
      <w:r>
        <w:rPr>
          <w:rFonts w:hint="eastAsia" w:ascii="仿宋_GB2312" w:eastAsia="仿宋_GB2312"/>
          <w:sz w:val="28"/>
          <w:szCs w:val="28"/>
          <w:lang w:val="en-US" w:eastAsia="zh-CN"/>
        </w:rPr>
        <w:t>13.15</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349.1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%；项目支出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bookmarkStart w:id="0" w:name="_GoBack"/>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End w:id="0"/>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349.1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40.57</w:t>
      </w:r>
      <w:r>
        <w:rPr>
          <w:rFonts w:hint="eastAsia" w:ascii="仿宋_GB2312" w:eastAsia="仿宋_GB2312"/>
          <w:sz w:val="28"/>
          <w:szCs w:val="28"/>
        </w:rPr>
        <w:t>万元，增长</w:t>
      </w:r>
      <w:r>
        <w:rPr>
          <w:rFonts w:hint="eastAsia" w:ascii="仿宋_GB2312" w:eastAsia="仿宋_GB2312"/>
          <w:sz w:val="28"/>
          <w:szCs w:val="28"/>
          <w:lang w:val="en-US" w:eastAsia="zh-CN"/>
        </w:rPr>
        <w:t>13.15</w:t>
      </w:r>
      <w:r>
        <w:rPr>
          <w:rFonts w:hint="eastAsia" w:ascii="仿宋_GB2312" w:eastAsia="仿宋_GB2312"/>
          <w:sz w:val="28"/>
          <w:szCs w:val="28"/>
        </w:rPr>
        <w:t>%。主要原因：</w:t>
      </w:r>
      <w:r>
        <w:rPr>
          <w:rFonts w:hint="eastAsia" w:ascii="仿宋_GB2312" w:eastAsia="仿宋_GB2312"/>
          <w:sz w:val="28"/>
          <w:szCs w:val="28"/>
          <w:lang w:eastAsia="zh-CN"/>
        </w:rPr>
        <w:t>事业单位新入职</w:t>
      </w:r>
      <w:r>
        <w:rPr>
          <w:rFonts w:hint="eastAsia" w:ascii="仿宋_GB2312" w:eastAsia="仿宋_GB2312"/>
          <w:sz w:val="28"/>
          <w:szCs w:val="28"/>
          <w:lang w:val="en-US" w:eastAsia="zh-CN"/>
        </w:rPr>
        <w:t>2人及发放住房补贴</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349.1</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288.63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82.68</w:t>
      </w:r>
      <w:r>
        <w:rPr>
          <w:rFonts w:hint="eastAsia" w:ascii="仿宋_GB2312" w:eastAsia="仿宋_GB2312"/>
          <w:sz w:val="28"/>
          <w:szCs w:val="28"/>
        </w:rPr>
        <w:t>%；社会保障和就业支出</w:t>
      </w:r>
      <w:r>
        <w:rPr>
          <w:rFonts w:hint="eastAsia" w:ascii="仿宋_GB2312" w:eastAsia="仿宋_GB2312"/>
          <w:sz w:val="28"/>
          <w:szCs w:val="28"/>
          <w:lang w:val="en-US" w:eastAsia="zh-CN"/>
        </w:rPr>
        <w:t>33.67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9.64</w:t>
      </w:r>
      <w:r>
        <w:rPr>
          <w:rFonts w:ascii="仿宋_GB2312" w:eastAsia="仿宋_GB2312"/>
          <w:sz w:val="28"/>
          <w:szCs w:val="28"/>
        </w:rPr>
        <w:t>%</w:t>
      </w:r>
      <w:r>
        <w:rPr>
          <w:rFonts w:hint="eastAsia" w:ascii="仿宋_GB2312" w:eastAsia="仿宋_GB2312"/>
          <w:sz w:val="28"/>
          <w:szCs w:val="28"/>
        </w:rPr>
        <w:t>；卫生健康支出</w:t>
      </w:r>
      <w:r>
        <w:rPr>
          <w:rFonts w:hint="eastAsia" w:ascii="仿宋_GB2312" w:eastAsia="仿宋_GB2312"/>
          <w:sz w:val="28"/>
          <w:szCs w:val="28"/>
          <w:lang w:val="en-US" w:eastAsia="zh-CN"/>
        </w:rPr>
        <w:t>26.80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7.68</w:t>
      </w:r>
      <w:r>
        <w:rPr>
          <w:rFonts w:ascii="仿宋_GB2312" w:eastAsia="仿宋_GB2312"/>
          <w:sz w:val="28"/>
          <w:szCs w:val="28"/>
        </w:rPr>
        <w:t>%</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297.53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288.63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97.01</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“发展与改革事务”（款）202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297.53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288.63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97.01</w:t>
      </w:r>
      <w:r>
        <w:rPr>
          <w:rFonts w:hint="eastAsia" w:ascii="仿宋_GB2312" w:eastAsia="仿宋_GB2312"/>
          <w:sz w:val="28"/>
          <w:szCs w:val="28"/>
        </w:rPr>
        <w:t>%。主要原因：</w:t>
      </w:r>
      <w:r>
        <w:rPr>
          <w:rFonts w:hint="eastAsia" w:ascii="仿宋_GB2312" w:eastAsia="仿宋_GB2312"/>
          <w:sz w:val="28"/>
          <w:szCs w:val="28"/>
          <w:lang w:eastAsia="zh-CN"/>
        </w:rPr>
        <w:t>年初预算编制中将社会保障和就业支出、卫生健康支出列入发展与改革事务支出</w:t>
      </w:r>
      <w:r>
        <w:rPr>
          <w:rFonts w:hint="eastAsia" w:ascii="仿宋_GB2312" w:eastAsia="仿宋_GB2312"/>
          <w:sz w:val="28"/>
          <w:szCs w:val="28"/>
        </w:rPr>
        <w:t>。</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%。主要原因：</w:t>
      </w:r>
      <w:r>
        <w:rPr>
          <w:rFonts w:hint="eastAsia" w:ascii="仿宋_GB2312" w:eastAsia="仿宋_GB2312"/>
          <w:sz w:val="28"/>
          <w:szCs w:val="28"/>
          <w:lang w:eastAsia="zh-CN"/>
        </w:rPr>
        <w:t>年初预算编制中将社会保障和就业支出列入发展与改革事务支出</w:t>
      </w:r>
      <w:r>
        <w:rPr>
          <w:rFonts w:hint="eastAsia" w:ascii="仿宋_GB2312" w:eastAsia="仿宋_GB2312"/>
          <w:sz w:val="28"/>
          <w:szCs w:val="28"/>
        </w:rPr>
        <w:t>。</w:t>
      </w:r>
    </w:p>
    <w:p w14:paraId="476E8E9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%。其中：</w:t>
      </w:r>
    </w:p>
    <w:p w14:paraId="3E95227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%。主要原因：</w:t>
      </w:r>
      <w:r>
        <w:rPr>
          <w:rFonts w:hint="eastAsia" w:ascii="仿宋_GB2312" w:eastAsia="仿宋_GB2312"/>
          <w:sz w:val="28"/>
          <w:szCs w:val="28"/>
          <w:lang w:eastAsia="zh-CN"/>
        </w:rPr>
        <w:t>年初预算编制中将卫生健康支出列入发展与改革事务支出</w:t>
      </w:r>
      <w:r>
        <w:rPr>
          <w:rFonts w:hint="eastAsia" w:ascii="仿宋_GB2312" w:eastAsia="仿宋_GB2312"/>
          <w:sz w:val="28"/>
          <w:szCs w:val="28"/>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3537DB0">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349.1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机关事业单位基本养老保险缴费、职业年金缴费、职工基本医疗保险缴费、公务员医疗补助缴费、其他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办公费、印刷费、邮电费、维修（护）费、工会经费、福利费</w:t>
      </w:r>
      <w:r>
        <w:rPr>
          <w:rFonts w:hint="eastAsia" w:ascii="仿宋_GB2312" w:eastAsia="仿宋_GB2312"/>
          <w:sz w:val="28"/>
          <w:szCs w:val="28"/>
        </w:rPr>
        <w:t>等</w:t>
      </w:r>
      <w:r>
        <w:rPr>
          <w:rFonts w:ascii="仿宋_GB2312" w:eastAsia="仿宋_GB2312"/>
          <w:sz w:val="28"/>
          <w:szCs w:val="28"/>
        </w:rPr>
        <w:t>支出。</w:t>
      </w:r>
    </w:p>
    <w:p w14:paraId="582DBA48">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44105187">
      <w:pPr>
        <w:autoSpaceDE w:val="0"/>
        <w:autoSpaceDN w:val="0"/>
        <w:adjustRightInd w:val="0"/>
        <w:spacing w:line="580" w:lineRule="exact"/>
        <w:jc w:val="both"/>
        <w:rPr>
          <w:rFonts w:ascii="仿宋_GB2312" w:eastAsia="仿宋_GB2312"/>
          <w:b/>
          <w:sz w:val="32"/>
          <w:szCs w:val="32"/>
        </w:rPr>
      </w:pPr>
    </w:p>
    <w:p w14:paraId="4622C3B5">
      <w:pPr>
        <w:autoSpaceDE w:val="0"/>
        <w:autoSpaceDN w:val="0"/>
        <w:adjustRightInd w:val="0"/>
        <w:spacing w:line="580" w:lineRule="exact"/>
        <w:jc w:val="both"/>
        <w:rPr>
          <w:rFonts w:ascii="仿宋_GB2312" w:eastAsia="仿宋_GB2312"/>
          <w:b/>
          <w:sz w:val="32"/>
          <w:szCs w:val="32"/>
        </w:rPr>
      </w:pPr>
    </w:p>
    <w:p w14:paraId="70F8E48B">
      <w:pPr>
        <w:autoSpaceDE w:val="0"/>
        <w:autoSpaceDN w:val="0"/>
        <w:adjustRightInd w:val="0"/>
        <w:spacing w:line="580" w:lineRule="exact"/>
        <w:jc w:val="both"/>
        <w:rPr>
          <w:rFonts w:ascii="仿宋_GB2312" w:eastAsia="仿宋_GB2312"/>
          <w:b/>
          <w:sz w:val="32"/>
          <w:szCs w:val="32"/>
        </w:rPr>
      </w:pPr>
    </w:p>
    <w:p w14:paraId="06450AA4">
      <w:pPr>
        <w:autoSpaceDE w:val="0"/>
        <w:autoSpaceDN w:val="0"/>
        <w:adjustRightInd w:val="0"/>
        <w:spacing w:line="580" w:lineRule="exact"/>
        <w:jc w:val="both"/>
        <w:rPr>
          <w:rFonts w:ascii="仿宋_GB2312" w:eastAsia="仿宋_GB2312"/>
          <w:b/>
          <w:sz w:val="32"/>
          <w:szCs w:val="32"/>
        </w:rPr>
      </w:pPr>
    </w:p>
    <w:p w14:paraId="6073F701">
      <w:pPr>
        <w:autoSpaceDE w:val="0"/>
        <w:autoSpaceDN w:val="0"/>
        <w:adjustRightInd w:val="0"/>
        <w:spacing w:line="580" w:lineRule="exact"/>
        <w:jc w:val="both"/>
        <w:rPr>
          <w:rFonts w:ascii="仿宋_GB2312" w:eastAsia="仿宋_GB2312"/>
          <w:b/>
          <w:sz w:val="32"/>
          <w:szCs w:val="32"/>
        </w:rPr>
      </w:pPr>
    </w:p>
    <w:p w14:paraId="7D228E2D">
      <w:pPr>
        <w:autoSpaceDE w:val="0"/>
        <w:autoSpaceDN w:val="0"/>
        <w:adjustRightInd w:val="0"/>
        <w:spacing w:line="580" w:lineRule="exact"/>
        <w:jc w:val="both"/>
        <w:rPr>
          <w:rFonts w:ascii="仿宋_GB2312" w:eastAsia="仿宋_GB2312"/>
          <w:b/>
          <w:sz w:val="32"/>
          <w:szCs w:val="32"/>
        </w:rPr>
      </w:pPr>
    </w:p>
    <w:p w14:paraId="13CB82C4">
      <w:pPr>
        <w:autoSpaceDE w:val="0"/>
        <w:autoSpaceDN w:val="0"/>
        <w:adjustRightInd w:val="0"/>
        <w:spacing w:line="580" w:lineRule="exact"/>
        <w:jc w:val="both"/>
        <w:rPr>
          <w:rFonts w:ascii="仿宋_GB2312" w:eastAsia="仿宋_GB2312"/>
          <w:b/>
          <w:sz w:val="32"/>
          <w:szCs w:val="32"/>
        </w:rPr>
      </w:pPr>
    </w:p>
    <w:p w14:paraId="72EE9C47">
      <w:pPr>
        <w:autoSpaceDE w:val="0"/>
        <w:autoSpaceDN w:val="0"/>
        <w:adjustRightInd w:val="0"/>
        <w:spacing w:line="580" w:lineRule="exact"/>
        <w:jc w:val="both"/>
        <w:rPr>
          <w:rFonts w:ascii="仿宋_GB2312" w:eastAsia="仿宋_GB2312"/>
          <w:b/>
          <w:sz w:val="32"/>
          <w:szCs w:val="32"/>
        </w:rPr>
      </w:pPr>
    </w:p>
    <w:p w14:paraId="45DB21D3">
      <w:pPr>
        <w:autoSpaceDE w:val="0"/>
        <w:autoSpaceDN w:val="0"/>
        <w:adjustRightInd w:val="0"/>
        <w:spacing w:line="580" w:lineRule="exact"/>
        <w:jc w:val="both"/>
        <w:rPr>
          <w:rFonts w:ascii="仿宋_GB2312" w:eastAsia="仿宋_GB2312"/>
          <w:b/>
          <w:sz w:val="32"/>
          <w:szCs w:val="32"/>
        </w:rPr>
      </w:pPr>
    </w:p>
    <w:p w14:paraId="4E473485">
      <w:pPr>
        <w:autoSpaceDE w:val="0"/>
        <w:autoSpaceDN w:val="0"/>
        <w:adjustRightInd w:val="0"/>
        <w:spacing w:line="580" w:lineRule="exact"/>
        <w:jc w:val="both"/>
        <w:rPr>
          <w:rFonts w:hint="eastAsia" w:ascii="仿宋_GB2312" w:eastAsia="仿宋_GB2312"/>
          <w:b/>
          <w:sz w:val="32"/>
          <w:szCs w:val="32"/>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万元。主要原因：本年度无此项支出；202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万元。主要原因：本年度无此项支出。公务接待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万元，主要原因：本年度无此项支出，202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万元，主要原因：本年度无此项支出。202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0</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w:t>
      </w:r>
      <w:r>
        <w:rPr>
          <w:rFonts w:hint="eastAsia" w:ascii="仿宋_GB2312" w:eastAsia="仿宋_GB2312"/>
          <w:sz w:val="28"/>
          <w:szCs w:val="28"/>
          <w:lang w:val="en-US" w:eastAsia="zh-CN"/>
        </w:rPr>
        <w:t>0</w:t>
      </w:r>
      <w:r>
        <w:rPr>
          <w:rFonts w:hint="eastAsia" w:ascii="仿宋_GB2312" w:eastAsia="仿宋_GB2312"/>
          <w:sz w:val="28"/>
          <w:szCs w:val="28"/>
        </w:rPr>
        <w:t>万元，增加原因：本年度无此项支出。</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12月31日，北京大兴国际机场建设综合服务中心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D0F8F9F">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rPr>
        <w:t xml:space="preserve">7. </w:t>
      </w:r>
      <w:r>
        <w:rPr>
          <w:rFonts w:hint="eastAsia" w:ascii="仿宋_GB2312" w:eastAsia="仿宋_GB2312"/>
          <w:sz w:val="28"/>
          <w:szCs w:val="28"/>
          <w:highlight w:val="none"/>
          <w:lang w:val="en-US" w:eastAsia="zh-CN"/>
        </w:rPr>
        <w:t>一般公共服务支出（类）发展与改革事务（款）事业运行（项）：反映事业单位的基本支出，不包括行政单位（包括实行公务员管理的事业单位）后勤服务中心、医务室等附属事业单位。</w:t>
      </w:r>
    </w:p>
    <w:p w14:paraId="308B8913">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8.社会保障和就业支出（类）行政事业单位养老支出（款）机关事业单位基本养老保险缴费支出（项）：反映机关事业单位实施养老保险制度由单位缴纳的基本养老保险费支出。</w:t>
      </w:r>
    </w:p>
    <w:p w14:paraId="529DAFD0">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9.社会保障和就业支出（类）行政事业单位养老支出（款）机关事业单位职业年金缴费支出（项）：反映机关事业单位实施养老保险制度由单位实际缴纳的职业年金支出。</w:t>
      </w:r>
    </w:p>
    <w:p w14:paraId="13F30321">
      <w:pPr>
        <w:ind w:firstLine="420" w:firstLineChars="150"/>
        <w:rPr>
          <w:rFonts w:hint="default" w:ascii="仿宋_GB2312" w:eastAsia="仿宋_GB2312"/>
          <w:sz w:val="28"/>
          <w:szCs w:val="28"/>
          <w:lang w:val="en-US" w:eastAsia="zh-CN"/>
        </w:rPr>
      </w:pPr>
      <w:r>
        <w:rPr>
          <w:rFonts w:hint="eastAsia" w:ascii="仿宋_GB2312" w:eastAsia="仿宋_GB2312"/>
          <w:sz w:val="28"/>
          <w:szCs w:val="28"/>
          <w:highlight w:val="none"/>
          <w:lang w:val="en-US" w:eastAsia="zh-CN"/>
        </w:rPr>
        <w:t>10.</w:t>
      </w:r>
      <w:r>
        <w:rPr>
          <w:rFonts w:hint="eastAsia" w:ascii="仿宋_GB2312" w:eastAsia="仿宋_GB2312"/>
          <w:sz w:val="28"/>
          <w:szCs w:val="28"/>
          <w:lang w:val="en-US"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14:paraId="3A95F461">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11.</w:t>
      </w:r>
      <w:r>
        <w:rPr>
          <w:rFonts w:hint="eastAsia" w:ascii="仿宋_GB2312" w:hAnsi="Times New Roman" w:eastAsia="仿宋_GB2312" w:cs="Times New Roman"/>
          <w:sz w:val="28"/>
          <w:szCs w:val="28"/>
          <w:highlight w:val="none"/>
          <w:lang w:val="en-US" w:eastAsia="zh-CN"/>
        </w:rPr>
        <w:t>卫生健康支出（类）行政事业单位医疗（款）公务员医疗补助（项）：反映财政部门安排的公务员医疗补助经费。</w:t>
      </w:r>
    </w:p>
    <w:p w14:paraId="146061BB">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014E14F6">
      <w:pPr>
        <w:spacing w:line="580" w:lineRule="exact"/>
        <w:ind w:firstLine="560" w:firstLineChars="200"/>
        <w:outlineLvl w:val="0"/>
        <w:rPr>
          <w:rFonts w:hint="eastAsia" w:ascii="仿宋_GB2312" w:hAnsi="仿宋_GB2312" w:eastAsia="仿宋_GB2312" w:cs="仿宋_GB2312"/>
          <w:sz w:val="28"/>
          <w:szCs w:val="28"/>
        </w:rPr>
      </w:pPr>
    </w:p>
    <w:p w14:paraId="6424E6AF">
      <w:pPr>
        <w:spacing w:line="580" w:lineRule="exact"/>
        <w:ind w:firstLine="560" w:firstLineChars="200"/>
        <w:outlineLvl w:val="0"/>
        <w:rPr>
          <w:rFonts w:ascii="黑体" w:eastAsia="黑体"/>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eastAsia="zh-CN"/>
        </w:rPr>
        <w:t>度</w:t>
      </w:r>
      <w:r>
        <w:rPr>
          <w:rFonts w:hint="eastAsia" w:ascii="仿宋_GB2312" w:eastAsia="仿宋_GB2312"/>
          <w:sz w:val="28"/>
          <w:szCs w:val="28"/>
        </w:rPr>
        <w:t>北京大兴国际机场建设综合服务中心未发生项目支出，未实施绩效评价。</w:t>
      </w:r>
    </w:p>
    <w:p w14:paraId="505B215B">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A1B"/>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75DCD"/>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0FF94348"/>
    <w:rsid w:val="1059665E"/>
    <w:rsid w:val="10AC13BA"/>
    <w:rsid w:val="145A6C1B"/>
    <w:rsid w:val="14B73493"/>
    <w:rsid w:val="167A2FF9"/>
    <w:rsid w:val="1764587C"/>
    <w:rsid w:val="18581C69"/>
    <w:rsid w:val="1AEC0734"/>
    <w:rsid w:val="1DEF20B0"/>
    <w:rsid w:val="1E704A36"/>
    <w:rsid w:val="1FF7AB17"/>
    <w:rsid w:val="20832F3E"/>
    <w:rsid w:val="214243FA"/>
    <w:rsid w:val="21AD613C"/>
    <w:rsid w:val="21D35E63"/>
    <w:rsid w:val="22467189"/>
    <w:rsid w:val="243B4D2A"/>
    <w:rsid w:val="25496D80"/>
    <w:rsid w:val="257A14F5"/>
    <w:rsid w:val="264C5790"/>
    <w:rsid w:val="27196C26"/>
    <w:rsid w:val="28160111"/>
    <w:rsid w:val="29EF086F"/>
    <w:rsid w:val="2BC34C59"/>
    <w:rsid w:val="2EAC4333"/>
    <w:rsid w:val="2EFFE297"/>
    <w:rsid w:val="301437CA"/>
    <w:rsid w:val="349D1F0A"/>
    <w:rsid w:val="34DD0473"/>
    <w:rsid w:val="361A0D13"/>
    <w:rsid w:val="3A8E35DC"/>
    <w:rsid w:val="3C684897"/>
    <w:rsid w:val="409D60B7"/>
    <w:rsid w:val="433E495C"/>
    <w:rsid w:val="488C4538"/>
    <w:rsid w:val="489F2FD7"/>
    <w:rsid w:val="48F05F97"/>
    <w:rsid w:val="4AC27CB3"/>
    <w:rsid w:val="4AE64EED"/>
    <w:rsid w:val="4BF72BEF"/>
    <w:rsid w:val="4FA90297"/>
    <w:rsid w:val="4FC41A43"/>
    <w:rsid w:val="51DB3C59"/>
    <w:rsid w:val="53345559"/>
    <w:rsid w:val="550C0952"/>
    <w:rsid w:val="55762E42"/>
    <w:rsid w:val="57A7B272"/>
    <w:rsid w:val="58470068"/>
    <w:rsid w:val="58747CAC"/>
    <w:rsid w:val="5A1720F9"/>
    <w:rsid w:val="5B9C37C2"/>
    <w:rsid w:val="5BA7C654"/>
    <w:rsid w:val="5DF716AE"/>
    <w:rsid w:val="5EF16C9F"/>
    <w:rsid w:val="5F9F507E"/>
    <w:rsid w:val="60A54109"/>
    <w:rsid w:val="610C297D"/>
    <w:rsid w:val="61D01CDF"/>
    <w:rsid w:val="64C0607C"/>
    <w:rsid w:val="65756C86"/>
    <w:rsid w:val="674D385B"/>
    <w:rsid w:val="676F09E1"/>
    <w:rsid w:val="6B56278A"/>
    <w:rsid w:val="6DEF7022"/>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311.47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layout>
                <c:manualLayout>
                  <c:x val="-0.0473611111111111"/>
                  <c:y val="-0.018981481481481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58448173845594"/>
                  <c:y val="0.039308625092269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738888888888889"/>
                  <c:y val="-0.021990740740740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58294324914166"/>
                  <c:y val="0.038983451732284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349.1</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3466</Words>
  <Characters>3802</Characters>
  <Lines>44</Lines>
  <Paragraphs>12</Paragraphs>
  <TotalTime>1</TotalTime>
  <ScaleCrop>false</ScaleCrop>
  <LinksUpToDate>false</LinksUpToDate>
  <CharactersWithSpaces>3822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2025-09-23T02:03:28Z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eyJoZGlkIjoiZGZmMmY3YmU5NDcyNjQ0MzQwZDBjNmI5Yjc3NjM5YTEifQ==</vt:lpwstr>
  </property>
</Properties>
</file>