
<file path=[Content_Types].xml><?xml version="1.0" encoding="utf-8"?>
<Types xmlns="http://schemas.openxmlformats.org/package/2006/content-types">
  <Default Extension="xlsx" ContentType="application/vnd.openxmlformats-officedocument.spreadsheetml.sheet"/>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7AB713">
      <w:pPr>
        <w:jc w:val="center"/>
        <w:rPr>
          <w:rFonts w:ascii="仿宋_GB2312" w:eastAsia="仿宋_GB2312"/>
          <w:b/>
          <w:sz w:val="32"/>
          <w:szCs w:val="32"/>
        </w:rPr>
      </w:pPr>
    </w:p>
    <w:p w14:paraId="75956644">
      <w:pPr>
        <w:jc w:val="center"/>
        <w:rPr>
          <w:rFonts w:ascii="黑体" w:eastAsia="黑体"/>
          <w:sz w:val="72"/>
          <w:szCs w:val="72"/>
        </w:rPr>
      </w:pPr>
    </w:p>
    <w:p w14:paraId="0B8302D7">
      <w:pPr>
        <w:jc w:val="center"/>
        <w:rPr>
          <w:rFonts w:ascii="黑体" w:eastAsia="黑体"/>
          <w:sz w:val="72"/>
          <w:szCs w:val="72"/>
        </w:rPr>
      </w:pPr>
    </w:p>
    <w:p w14:paraId="36020097">
      <w:pPr>
        <w:jc w:val="center"/>
        <w:rPr>
          <w:rFonts w:ascii="黑体" w:eastAsia="黑体"/>
          <w:sz w:val="72"/>
          <w:szCs w:val="72"/>
        </w:rPr>
      </w:pPr>
    </w:p>
    <w:p w14:paraId="50CECB58">
      <w:pPr>
        <w:jc w:val="center"/>
        <w:rPr>
          <w:rFonts w:ascii="黑体" w:eastAsia="黑体"/>
          <w:sz w:val="72"/>
          <w:szCs w:val="72"/>
        </w:rPr>
      </w:pPr>
    </w:p>
    <w:p w14:paraId="193ED5D4">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71B29F6">
      <w:pPr>
        <w:jc w:val="center"/>
        <w:rPr>
          <w:rFonts w:ascii="黑体" w:eastAsia="黑体"/>
          <w:sz w:val="52"/>
          <w:szCs w:val="52"/>
        </w:rPr>
      </w:pPr>
    </w:p>
    <w:p w14:paraId="5951DC04">
      <w:pPr>
        <w:jc w:val="center"/>
        <w:rPr>
          <w:rFonts w:ascii="黑体" w:eastAsia="黑体"/>
          <w:sz w:val="52"/>
          <w:szCs w:val="52"/>
        </w:rPr>
      </w:pPr>
    </w:p>
    <w:p w14:paraId="16F9A369">
      <w:pPr>
        <w:jc w:val="center"/>
        <w:rPr>
          <w:rFonts w:ascii="黑体" w:eastAsia="黑体"/>
          <w:sz w:val="52"/>
          <w:szCs w:val="52"/>
        </w:rPr>
      </w:pPr>
    </w:p>
    <w:p w14:paraId="06CE3022">
      <w:pPr>
        <w:jc w:val="center"/>
        <w:rPr>
          <w:rFonts w:ascii="黑体" w:eastAsia="黑体"/>
          <w:sz w:val="52"/>
          <w:szCs w:val="52"/>
        </w:rPr>
      </w:pPr>
    </w:p>
    <w:p w14:paraId="1ACB1E0B">
      <w:pPr>
        <w:jc w:val="center"/>
        <w:rPr>
          <w:rFonts w:ascii="黑体" w:eastAsia="黑体"/>
          <w:sz w:val="32"/>
          <w:szCs w:val="32"/>
        </w:rPr>
      </w:pPr>
    </w:p>
    <w:p w14:paraId="2D8D813C">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294D7EFC">
      <w:pPr>
        <w:spacing w:line="500" w:lineRule="exact"/>
        <w:ind w:firstLine="645"/>
        <w:jc w:val="center"/>
        <w:rPr>
          <w:rFonts w:hint="eastAsia" w:ascii="宋体" w:hAnsi="宋体" w:cs="宋体"/>
          <w:b/>
          <w:bCs/>
          <w:kern w:val="0"/>
          <w:sz w:val="36"/>
          <w:szCs w:val="36"/>
        </w:rPr>
      </w:pPr>
    </w:p>
    <w:p w14:paraId="2ABE0FA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2208B9FA">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65ED540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5BDC0C0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5B96256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4486620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5BB97E5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57BB45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4C0D7F2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A02283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4117002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1CBA262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6A1F4FC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22E444B2">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60FBF27C">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131722EE">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4DFEFA24">
      <w:pPr>
        <w:tabs>
          <w:tab w:val="center" w:pos="6979"/>
        </w:tabs>
        <w:spacing w:before="156" w:beforeLines="50" w:after="156" w:afterLines="50"/>
        <w:jc w:val="center"/>
        <w:rPr>
          <w:rFonts w:ascii="宋体" w:hAnsi="宋体" w:cs="宋体"/>
          <w:b/>
          <w:bCs/>
          <w:spacing w:val="40"/>
          <w:kern w:val="0"/>
          <w:sz w:val="32"/>
          <w:szCs w:val="32"/>
        </w:rPr>
      </w:pPr>
    </w:p>
    <w:p w14:paraId="16EF260A">
      <w:pPr>
        <w:tabs>
          <w:tab w:val="center" w:pos="6979"/>
        </w:tabs>
        <w:spacing w:before="156" w:beforeLines="50" w:after="156" w:afterLines="50"/>
        <w:jc w:val="center"/>
        <w:rPr>
          <w:rFonts w:ascii="宋体" w:hAnsi="宋体" w:cs="宋体"/>
          <w:b/>
          <w:bCs/>
          <w:spacing w:val="40"/>
          <w:kern w:val="0"/>
          <w:sz w:val="32"/>
          <w:szCs w:val="32"/>
        </w:rPr>
      </w:pPr>
    </w:p>
    <w:p w14:paraId="0B7FB083">
      <w:pPr>
        <w:tabs>
          <w:tab w:val="center" w:pos="6979"/>
        </w:tabs>
        <w:spacing w:before="156" w:beforeLines="50" w:after="156" w:afterLines="50"/>
        <w:jc w:val="center"/>
        <w:rPr>
          <w:rFonts w:ascii="宋体" w:hAnsi="宋体" w:cs="宋体"/>
          <w:b/>
          <w:bCs/>
          <w:spacing w:val="40"/>
          <w:kern w:val="0"/>
          <w:sz w:val="32"/>
          <w:szCs w:val="32"/>
        </w:rPr>
      </w:pPr>
    </w:p>
    <w:p w14:paraId="0A4FF542">
      <w:pPr>
        <w:tabs>
          <w:tab w:val="center" w:pos="6979"/>
        </w:tabs>
        <w:spacing w:before="156" w:beforeLines="50" w:after="156" w:afterLines="50"/>
        <w:jc w:val="center"/>
        <w:rPr>
          <w:rFonts w:ascii="宋体" w:hAnsi="宋体" w:cs="宋体"/>
          <w:b/>
          <w:bCs/>
          <w:spacing w:val="40"/>
          <w:kern w:val="0"/>
          <w:sz w:val="32"/>
          <w:szCs w:val="32"/>
        </w:rPr>
      </w:pPr>
    </w:p>
    <w:p w14:paraId="51CD6CB7">
      <w:pPr>
        <w:tabs>
          <w:tab w:val="center" w:pos="6979"/>
        </w:tabs>
        <w:spacing w:before="156" w:beforeLines="50" w:after="156" w:afterLines="50"/>
        <w:jc w:val="center"/>
        <w:rPr>
          <w:rFonts w:ascii="宋体" w:hAnsi="宋体" w:cs="宋体"/>
          <w:b/>
          <w:bCs/>
          <w:spacing w:val="40"/>
          <w:kern w:val="0"/>
          <w:sz w:val="32"/>
          <w:szCs w:val="32"/>
        </w:rPr>
      </w:pPr>
    </w:p>
    <w:p w14:paraId="07E59213">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7345500D">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16602BEF">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538502E2">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78F8D787">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单位职责：负责集中行使由农业农村主管部门行使的动物卫生、兽医兽药、种子、化肥、渔政、农药、农机、农产品质量安全等领域行政处罚权以及与之相关的行政检查、行政强制权；农村地区非法占用土地建住宅的行政处罚权。</w:t>
      </w:r>
    </w:p>
    <w:p w14:paraId="79111F01">
      <w:pPr>
        <w:tabs>
          <w:tab w:val="center" w:pos="6979"/>
        </w:tabs>
        <w:spacing w:line="580" w:lineRule="exact"/>
        <w:ind w:firstLine="570"/>
        <w:rPr>
          <w:rFonts w:hint="eastAsia"/>
        </w:rPr>
      </w:pPr>
      <w:r>
        <w:rPr>
          <w:rFonts w:hint="eastAsia" w:ascii="仿宋_GB2312" w:eastAsia="仿宋_GB2312"/>
          <w:sz w:val="28"/>
          <w:szCs w:val="28"/>
          <w:lang w:val="en-US" w:eastAsia="zh-CN"/>
        </w:rPr>
        <w:t>机构设置情况：大兴区农业综合执法大队隶属于北京市大兴区农业农村局，机构性质为行政执法类单位。单位内设科室9个：综合科、执法监督科、屠宰监督执法分队、农产品安全执法分队、执法一分队、执法二分队、执法三分队、执法四分队、执法五分队，进京公路动物防疫监督检查站3个：凤河营公路检查站、礼贤公路检查站、榆垡公路检查站。</w:t>
      </w:r>
    </w:p>
    <w:p w14:paraId="24EDDBBD">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bookmarkStart w:id="0" w:name="_GoBack"/>
      <w:bookmarkEnd w:id="0"/>
    </w:p>
    <w:p w14:paraId="2A524BBB">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年度收、</w:t>
      </w:r>
      <w:r>
        <w:rPr>
          <w:rFonts w:ascii="仿宋_GB2312" w:eastAsia="仿宋_GB2312"/>
          <w:color w:val="auto"/>
          <w:sz w:val="28"/>
          <w:szCs w:val="28"/>
        </w:rPr>
        <w:t>支</w:t>
      </w:r>
      <w:r>
        <w:rPr>
          <w:rFonts w:hint="eastAsia" w:ascii="仿宋_GB2312" w:eastAsia="仿宋_GB2312"/>
          <w:color w:val="auto"/>
          <w:sz w:val="28"/>
          <w:szCs w:val="28"/>
        </w:rPr>
        <w:t>总计</w:t>
      </w:r>
      <w:r>
        <w:rPr>
          <w:rFonts w:ascii="仿宋_GB2312" w:eastAsia="仿宋_GB2312"/>
          <w:color w:val="auto"/>
          <w:sz w:val="28"/>
          <w:szCs w:val="28"/>
        </w:rPr>
        <w:t>3458.82</w:t>
      </w:r>
      <w:r>
        <w:rPr>
          <w:rFonts w:hint="eastAsia" w:ascii="仿宋_GB2312" w:eastAsia="仿宋_GB2312"/>
          <w:color w:val="auto"/>
          <w:sz w:val="28"/>
          <w:szCs w:val="28"/>
        </w:rPr>
        <w:t>万元，</w:t>
      </w:r>
      <w:r>
        <w:rPr>
          <w:rFonts w:ascii="仿宋_GB2312" w:eastAsia="仿宋_GB2312"/>
          <w:color w:val="auto"/>
          <w:sz w:val="28"/>
          <w:szCs w:val="28"/>
        </w:rPr>
        <w:t>比上年增加</w:t>
      </w:r>
      <w:r>
        <w:rPr>
          <w:rFonts w:hint="eastAsia" w:ascii="仿宋_GB2312" w:eastAsia="仿宋_GB2312"/>
          <w:color w:val="auto"/>
          <w:sz w:val="28"/>
          <w:szCs w:val="28"/>
          <w:lang w:val="en-US" w:eastAsia="zh-CN"/>
        </w:rPr>
        <w:t>190.38</w:t>
      </w:r>
      <w:r>
        <w:rPr>
          <w:rFonts w:hint="eastAsia" w:ascii="仿宋_GB2312" w:eastAsia="仿宋_GB2312"/>
          <w:color w:val="auto"/>
          <w:sz w:val="28"/>
          <w:szCs w:val="28"/>
        </w:rPr>
        <w:t>万元，增长</w:t>
      </w:r>
      <w:r>
        <w:rPr>
          <w:rFonts w:hint="eastAsia" w:ascii="仿宋_GB2312" w:eastAsia="仿宋_GB2312"/>
          <w:color w:val="auto"/>
          <w:sz w:val="28"/>
          <w:szCs w:val="28"/>
          <w:lang w:val="en-US" w:eastAsia="zh-CN"/>
        </w:rPr>
        <w:t>5.8</w:t>
      </w:r>
      <w:r>
        <w:rPr>
          <w:rFonts w:hint="eastAsia" w:ascii="仿宋_GB2312" w:eastAsia="仿宋_GB2312"/>
          <w:color w:val="auto"/>
          <w:sz w:val="28"/>
          <w:szCs w:val="28"/>
        </w:rPr>
        <w:t>%。</w:t>
      </w:r>
    </w:p>
    <w:p w14:paraId="76DE805C">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4461871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3208.18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15.9</w:t>
      </w:r>
      <w:r>
        <w:rPr>
          <w:rFonts w:hint="eastAsia" w:ascii="仿宋_GB2312" w:eastAsia="仿宋_GB2312"/>
          <w:sz w:val="28"/>
          <w:szCs w:val="28"/>
        </w:rPr>
        <w:t>万元，增长</w:t>
      </w:r>
      <w:r>
        <w:rPr>
          <w:rFonts w:hint="eastAsia" w:ascii="仿宋_GB2312" w:eastAsia="仿宋_GB2312"/>
          <w:sz w:val="28"/>
          <w:szCs w:val="28"/>
          <w:lang w:val="en-US" w:eastAsia="zh-CN"/>
        </w:rPr>
        <w:t>0.5</w:t>
      </w:r>
      <w:r>
        <w:rPr>
          <w:rFonts w:hint="eastAsia" w:ascii="仿宋_GB2312" w:eastAsia="仿宋_GB2312"/>
          <w:sz w:val="28"/>
          <w:szCs w:val="28"/>
        </w:rPr>
        <w:t>%</w:t>
      </w:r>
      <w:r>
        <w:rPr>
          <w:rFonts w:hint="eastAsia" w:ascii="仿宋_GB2312" w:eastAsia="仿宋_GB2312"/>
          <w:sz w:val="28"/>
          <w:szCs w:val="28"/>
          <w:lang w:eastAsia="zh-CN"/>
        </w:rPr>
        <w:t>。</w:t>
      </w:r>
    </w:p>
    <w:p w14:paraId="481D1692">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3208.18</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3208.18</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6FB436F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39C3A11">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D1F947">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38CF55AF">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0EC4385C">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1F5A6122">
      <w:pPr>
        <w:pStyle w:val="2"/>
        <w:ind w:firstLine="0"/>
        <w:jc w:val="center"/>
      </w:pPr>
      <w:r>
        <w:rPr>
          <w:rFonts w:hint="eastAsia" w:ascii="仿宋_GB2312" w:eastAsia="仿宋_GB2312"/>
          <w:color w:val="000000"/>
          <w:sz w:val="32"/>
          <w:szCs w:val="32"/>
          <w:highlight w:val="none"/>
          <w:lang w:val="en-US" w:eastAsia="zh-CN"/>
        </w:rPr>
        <w:t>图1：收入决算</w:t>
      </w:r>
    </w:p>
    <w:p w14:paraId="6B96F313">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8BAD3C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79E527B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3458.82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190.38</w:t>
      </w:r>
      <w:r>
        <w:rPr>
          <w:rFonts w:hint="eastAsia" w:ascii="仿宋_GB2312" w:eastAsia="仿宋_GB2312"/>
          <w:sz w:val="28"/>
          <w:szCs w:val="28"/>
        </w:rPr>
        <w:t>万元，增长</w:t>
      </w:r>
      <w:r>
        <w:rPr>
          <w:rFonts w:hint="eastAsia" w:ascii="仿宋_GB2312" w:eastAsia="仿宋_GB2312"/>
          <w:sz w:val="28"/>
          <w:szCs w:val="28"/>
          <w:lang w:val="en-US" w:eastAsia="zh-CN"/>
        </w:rPr>
        <w:t>5.8</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2983.11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86.25</w:t>
      </w:r>
      <w:r>
        <w:rPr>
          <w:rFonts w:hint="eastAsia" w:ascii="仿宋_GB2312" w:eastAsia="仿宋_GB2312"/>
          <w:sz w:val="28"/>
          <w:szCs w:val="28"/>
          <w:highlight w:val="none"/>
        </w:rPr>
        <w:t>%；项目支出</w:t>
      </w:r>
      <w:r>
        <w:rPr>
          <w:rFonts w:ascii="仿宋_GB2312" w:eastAsia="仿宋_GB2312"/>
          <w:sz w:val="28"/>
          <w:szCs w:val="28"/>
          <w:highlight w:val="none"/>
        </w:rPr>
        <w:t>475.71</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13.75</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4AB35DE4">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1C925B6A">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E551E89">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24BBA3F7">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3458.82</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190.38</w:t>
      </w:r>
      <w:r>
        <w:rPr>
          <w:rFonts w:hint="eastAsia" w:ascii="仿宋_GB2312" w:eastAsia="仿宋_GB2312"/>
          <w:sz w:val="28"/>
          <w:szCs w:val="28"/>
        </w:rPr>
        <w:t>万元，增长</w:t>
      </w:r>
      <w:r>
        <w:rPr>
          <w:rFonts w:hint="eastAsia" w:ascii="仿宋_GB2312" w:eastAsia="仿宋_GB2312"/>
          <w:sz w:val="28"/>
          <w:szCs w:val="28"/>
          <w:lang w:val="en-US" w:eastAsia="zh-CN"/>
        </w:rPr>
        <w:t>5.8</w:t>
      </w:r>
      <w:r>
        <w:rPr>
          <w:rFonts w:hint="eastAsia" w:ascii="仿宋_GB2312" w:eastAsia="仿宋_GB2312"/>
          <w:sz w:val="28"/>
          <w:szCs w:val="28"/>
        </w:rPr>
        <w:t>%。主要原因：</w:t>
      </w:r>
      <w:r>
        <w:rPr>
          <w:rFonts w:hint="eastAsia" w:ascii="仿宋_GB2312" w:eastAsia="仿宋_GB2312"/>
          <w:sz w:val="28"/>
          <w:szCs w:val="28"/>
          <w:lang w:eastAsia="zh-CN"/>
        </w:rPr>
        <w:t>人员正常薪级变动、人员保险基数变动以及年初归集调入职工住房补贴款</w:t>
      </w:r>
      <w:r>
        <w:rPr>
          <w:rFonts w:hint="eastAsia" w:ascii="仿宋_GB2312" w:eastAsia="仿宋_GB2312"/>
          <w:sz w:val="28"/>
          <w:szCs w:val="28"/>
        </w:rPr>
        <w:t>。</w:t>
      </w:r>
    </w:p>
    <w:p w14:paraId="1E30FCEA">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69AC19A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01551316">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3458.82</w:t>
      </w:r>
      <w:r>
        <w:rPr>
          <w:rFonts w:hint="eastAsia" w:ascii="仿宋_GB2312" w:eastAsia="仿宋_GB2312"/>
          <w:sz w:val="28"/>
          <w:szCs w:val="28"/>
        </w:rPr>
        <w:t>万元，主要用于以下方面：</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318.17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9.2</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lang w:val="en-US" w:eastAsia="zh-CN"/>
        </w:rPr>
        <w:t>247.97万元，占本年财政拨款支出7.16%；农林水支出2642.04万元，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76.39</w:t>
      </w:r>
      <w:r>
        <w:rPr>
          <w:rFonts w:hint="eastAsia" w:ascii="仿宋_GB2312" w:eastAsia="仿宋_GB2312"/>
          <w:sz w:val="28"/>
          <w:szCs w:val="28"/>
        </w:rPr>
        <w:t>%</w:t>
      </w:r>
      <w:r>
        <w:rPr>
          <w:rFonts w:hint="eastAsia" w:ascii="仿宋_GB2312" w:eastAsia="仿宋_GB2312"/>
          <w:sz w:val="28"/>
          <w:szCs w:val="28"/>
          <w:lang w:eastAsia="zh-CN"/>
        </w:rPr>
        <w:t>，住房保障支出</w:t>
      </w:r>
      <w:r>
        <w:rPr>
          <w:rFonts w:hint="eastAsia" w:ascii="仿宋_GB2312" w:eastAsia="仿宋_GB2312"/>
          <w:sz w:val="28"/>
          <w:szCs w:val="28"/>
          <w:lang w:val="en-US" w:eastAsia="zh-CN"/>
        </w:rPr>
        <w:t>250.64万元，占本年财政拨款支出7.25%。</w:t>
      </w:r>
    </w:p>
    <w:p w14:paraId="32103CA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0EC564B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333.39</w:t>
      </w:r>
      <w:r>
        <w:rPr>
          <w:rFonts w:hint="eastAsia" w:ascii="仿宋_GB2312" w:eastAsia="仿宋_GB2312"/>
          <w:color w:val="auto"/>
          <w:sz w:val="28"/>
          <w:szCs w:val="28"/>
        </w:rPr>
        <w:t>万元</w:t>
      </w:r>
      <w:r>
        <w:rPr>
          <w:rFonts w:hint="eastAsia" w:ascii="仿宋_GB2312" w:eastAsia="仿宋_GB2312"/>
          <w:color w:val="auto"/>
          <w:sz w:val="28"/>
          <w:szCs w:val="28"/>
          <w:lang w:eastAsia="zh-CN"/>
        </w:rPr>
        <w:t>，</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318.17</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95.43</w:t>
      </w:r>
      <w:r>
        <w:rPr>
          <w:rFonts w:hint="eastAsia" w:ascii="仿宋_GB2312" w:eastAsia="仿宋_GB2312"/>
          <w:color w:val="auto"/>
          <w:sz w:val="28"/>
          <w:szCs w:val="28"/>
        </w:rPr>
        <w:t>%</w:t>
      </w:r>
      <w:r>
        <w:rPr>
          <w:rFonts w:hint="eastAsia" w:ascii="仿宋_GB2312" w:eastAsia="仿宋_GB2312"/>
          <w:color w:val="auto"/>
          <w:sz w:val="28"/>
          <w:szCs w:val="28"/>
          <w:lang w:eastAsia="zh-CN"/>
        </w:rPr>
        <w:t>。</w:t>
      </w:r>
      <w:r>
        <w:rPr>
          <w:rFonts w:hint="eastAsia" w:ascii="仿宋_GB2312" w:eastAsia="仿宋_GB2312"/>
          <w:sz w:val="28"/>
          <w:szCs w:val="28"/>
        </w:rPr>
        <w:t>其中：</w:t>
      </w:r>
    </w:p>
    <w:p w14:paraId="2D2E10AF">
      <w:pPr>
        <w:spacing w:line="580" w:lineRule="exact"/>
        <w:ind w:firstLine="560" w:firstLineChars="200"/>
        <w:rPr>
          <w:rFonts w:hint="eastAsia" w:ascii="仿宋_GB2312" w:eastAsia="仿宋_GB2312"/>
          <w:color w:val="auto"/>
          <w:sz w:val="28"/>
          <w:szCs w:val="28"/>
        </w:rPr>
      </w:pPr>
      <w:r>
        <w:rPr>
          <w:rFonts w:hint="eastAsia" w:ascii="仿宋_GB2312" w:eastAsia="仿宋_GB2312"/>
          <w:sz w:val="28"/>
          <w:szCs w:val="28"/>
        </w:rPr>
        <w:t>“</w:t>
      </w:r>
      <w:r>
        <w:rPr>
          <w:rFonts w:hint="eastAsia" w:ascii="仿宋_GB2312" w:eastAsia="仿宋_GB2312"/>
          <w:color w:val="auto"/>
          <w:sz w:val="28"/>
          <w:szCs w:val="28"/>
          <w:lang w:eastAsia="zh-CN"/>
        </w:rPr>
        <w:t>行政单位离退休</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6.18</w:t>
      </w:r>
      <w:r>
        <w:rPr>
          <w:rFonts w:hint="eastAsia" w:ascii="仿宋_GB2312" w:eastAsia="仿宋_GB2312"/>
          <w:color w:val="auto"/>
          <w:sz w:val="28"/>
          <w:szCs w:val="28"/>
        </w:rPr>
        <w:t>万元</w:t>
      </w:r>
      <w:r>
        <w:rPr>
          <w:rFonts w:hint="eastAsia" w:ascii="仿宋_GB2312" w:eastAsia="仿宋_GB2312"/>
          <w:color w:val="auto"/>
          <w:sz w:val="28"/>
          <w:szCs w:val="28"/>
          <w:lang w:eastAsia="zh-CN"/>
        </w:rPr>
        <w:t>，</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lang w:val="en-US" w:eastAsia="zh-CN"/>
        </w:rPr>
        <w:t>6.99</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113.11</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新增退休人员</w:t>
      </w:r>
      <w:r>
        <w:rPr>
          <w:rFonts w:hint="eastAsia" w:ascii="仿宋_GB2312" w:eastAsia="仿宋_GB2312"/>
          <w:color w:val="auto"/>
          <w:sz w:val="28"/>
          <w:szCs w:val="28"/>
          <w:lang w:val="en-US" w:eastAsia="zh-CN"/>
        </w:rPr>
        <w:t>1名</w:t>
      </w:r>
      <w:r>
        <w:rPr>
          <w:rFonts w:hint="eastAsia" w:ascii="仿宋_GB2312" w:eastAsia="仿宋_GB2312"/>
          <w:color w:val="auto"/>
          <w:sz w:val="28"/>
          <w:szCs w:val="28"/>
        </w:rPr>
        <w:t>。</w:t>
      </w:r>
    </w:p>
    <w:p w14:paraId="369054EB">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“机关事业单位基本养老保险缴费支出”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218.14</w:t>
      </w:r>
      <w:r>
        <w:rPr>
          <w:rFonts w:hint="eastAsia" w:ascii="仿宋_GB2312" w:eastAsia="仿宋_GB2312"/>
          <w:color w:val="auto"/>
          <w:sz w:val="28"/>
          <w:szCs w:val="28"/>
        </w:rPr>
        <w:t>万元</w:t>
      </w:r>
      <w:r>
        <w:rPr>
          <w:rFonts w:hint="eastAsia" w:ascii="仿宋_GB2312" w:eastAsia="仿宋_GB2312"/>
          <w:color w:val="auto"/>
          <w:sz w:val="28"/>
          <w:szCs w:val="28"/>
          <w:lang w:eastAsia="zh-CN"/>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lang w:eastAsia="zh-CN"/>
        </w:rPr>
        <w:t>年度决算</w:t>
      </w:r>
      <w:r>
        <w:rPr>
          <w:rFonts w:hint="eastAsia" w:ascii="仿宋_GB2312" w:eastAsia="仿宋_GB2312"/>
          <w:color w:val="auto"/>
          <w:sz w:val="28"/>
          <w:szCs w:val="28"/>
          <w:lang w:val="en-US" w:eastAsia="zh-CN"/>
        </w:rPr>
        <w:t>207.45</w:t>
      </w:r>
      <w:r>
        <w:rPr>
          <w:rFonts w:hint="eastAsia" w:ascii="仿宋_GB2312" w:eastAsia="仿宋_GB2312"/>
          <w:color w:val="auto"/>
          <w:sz w:val="28"/>
          <w:szCs w:val="28"/>
          <w:lang w:eastAsia="zh-CN"/>
        </w:rPr>
        <w:t>万元，完成年初预算的</w:t>
      </w:r>
      <w:r>
        <w:rPr>
          <w:rFonts w:hint="eastAsia" w:ascii="仿宋_GB2312" w:eastAsia="仿宋_GB2312"/>
          <w:color w:val="auto"/>
          <w:sz w:val="28"/>
          <w:szCs w:val="28"/>
          <w:lang w:val="en-US" w:eastAsia="zh-CN"/>
        </w:rPr>
        <w:t>95.01</w:t>
      </w:r>
      <w:r>
        <w:rPr>
          <w:rFonts w:hint="eastAsia" w:ascii="仿宋_GB2312" w:eastAsia="仿宋_GB2312"/>
          <w:color w:val="auto"/>
          <w:sz w:val="28"/>
          <w:szCs w:val="28"/>
        </w:rPr>
        <w:t>%</w:t>
      </w:r>
      <w:r>
        <w:rPr>
          <w:rFonts w:hint="eastAsia" w:ascii="仿宋_GB2312" w:eastAsia="仿宋_GB2312"/>
          <w:color w:val="auto"/>
          <w:sz w:val="28"/>
          <w:szCs w:val="28"/>
          <w:lang w:eastAsia="zh-CN"/>
        </w:rPr>
        <w:t>。主要原因：</w:t>
      </w:r>
      <w:r>
        <w:rPr>
          <w:rFonts w:hint="eastAsia" w:ascii="仿宋_GB2312" w:eastAsia="仿宋_GB2312"/>
          <w:color w:val="auto"/>
          <w:sz w:val="28"/>
          <w:szCs w:val="28"/>
          <w:lang w:val="en-US" w:eastAsia="zh-CN"/>
        </w:rPr>
        <w:t>保险基数调整</w:t>
      </w:r>
      <w:r>
        <w:rPr>
          <w:rFonts w:hint="eastAsia" w:ascii="仿宋_GB2312" w:eastAsia="仿宋_GB2312"/>
          <w:color w:val="auto"/>
          <w:sz w:val="28"/>
          <w:szCs w:val="28"/>
          <w:lang w:eastAsia="zh-CN"/>
        </w:rPr>
        <w:t>。</w:t>
      </w:r>
    </w:p>
    <w:p w14:paraId="16A2A4FE">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“机关事业单位职业年金缴费支出”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109.07</w:t>
      </w:r>
      <w:r>
        <w:rPr>
          <w:rFonts w:hint="eastAsia" w:ascii="仿宋_GB2312" w:eastAsia="仿宋_GB2312"/>
          <w:color w:val="auto"/>
          <w:sz w:val="28"/>
          <w:szCs w:val="28"/>
        </w:rPr>
        <w:t>万元</w:t>
      </w:r>
      <w:r>
        <w:rPr>
          <w:rFonts w:hint="eastAsia" w:ascii="仿宋_GB2312" w:eastAsia="仿宋_GB2312"/>
          <w:color w:val="auto"/>
          <w:sz w:val="28"/>
          <w:szCs w:val="28"/>
          <w:lang w:eastAsia="zh-CN"/>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lang w:eastAsia="zh-CN"/>
        </w:rPr>
        <w:t>年度决算</w:t>
      </w:r>
      <w:r>
        <w:rPr>
          <w:rFonts w:hint="eastAsia" w:ascii="仿宋_GB2312" w:eastAsia="仿宋_GB2312"/>
          <w:color w:val="auto"/>
          <w:sz w:val="28"/>
          <w:szCs w:val="28"/>
          <w:lang w:val="en-US" w:eastAsia="zh-CN"/>
        </w:rPr>
        <w:t>103.73</w:t>
      </w:r>
      <w:r>
        <w:rPr>
          <w:rFonts w:hint="eastAsia" w:ascii="仿宋_GB2312" w:eastAsia="仿宋_GB2312"/>
          <w:color w:val="auto"/>
          <w:sz w:val="28"/>
          <w:szCs w:val="28"/>
          <w:lang w:eastAsia="zh-CN"/>
        </w:rPr>
        <w:t>万元，完成年初预算的</w:t>
      </w:r>
      <w:r>
        <w:rPr>
          <w:rFonts w:hint="eastAsia" w:ascii="仿宋_GB2312" w:eastAsia="仿宋_GB2312"/>
          <w:color w:val="auto"/>
          <w:sz w:val="28"/>
          <w:szCs w:val="28"/>
          <w:lang w:val="en-US" w:eastAsia="zh-CN"/>
        </w:rPr>
        <w:t>95.1</w:t>
      </w:r>
      <w:r>
        <w:rPr>
          <w:rFonts w:hint="eastAsia" w:ascii="仿宋_GB2312" w:eastAsia="仿宋_GB2312"/>
          <w:color w:val="auto"/>
          <w:sz w:val="28"/>
          <w:szCs w:val="28"/>
        </w:rPr>
        <w:t>%</w:t>
      </w:r>
      <w:r>
        <w:rPr>
          <w:rFonts w:hint="eastAsia" w:ascii="仿宋_GB2312" w:eastAsia="仿宋_GB2312"/>
          <w:color w:val="auto"/>
          <w:sz w:val="28"/>
          <w:szCs w:val="28"/>
          <w:lang w:eastAsia="zh-CN"/>
        </w:rPr>
        <w:t>。主要原因：</w:t>
      </w:r>
      <w:r>
        <w:rPr>
          <w:rFonts w:hint="eastAsia" w:ascii="仿宋_GB2312" w:eastAsia="仿宋_GB2312"/>
          <w:color w:val="auto"/>
          <w:sz w:val="28"/>
          <w:szCs w:val="28"/>
          <w:lang w:val="en-US" w:eastAsia="zh-CN"/>
        </w:rPr>
        <w:t>保险基数调整</w:t>
      </w:r>
      <w:r>
        <w:rPr>
          <w:rFonts w:hint="eastAsia" w:ascii="仿宋_GB2312" w:eastAsia="仿宋_GB2312"/>
          <w:color w:val="auto"/>
          <w:sz w:val="28"/>
          <w:szCs w:val="28"/>
          <w:lang w:eastAsia="zh-CN"/>
        </w:rPr>
        <w:t>。</w:t>
      </w:r>
    </w:p>
    <w:p w14:paraId="1C7F69F0">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2.“卫生健康支出”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256.56</w:t>
      </w:r>
      <w:r>
        <w:rPr>
          <w:rFonts w:hint="eastAsia" w:ascii="仿宋_GB2312" w:eastAsia="仿宋_GB2312"/>
          <w:color w:val="auto"/>
          <w:sz w:val="28"/>
          <w:szCs w:val="28"/>
        </w:rPr>
        <w:t>万元</w:t>
      </w:r>
      <w:r>
        <w:rPr>
          <w:rFonts w:hint="eastAsia" w:ascii="仿宋_GB2312" w:eastAsia="仿宋_GB2312"/>
          <w:color w:val="auto"/>
          <w:sz w:val="28"/>
          <w:szCs w:val="28"/>
          <w:lang w:eastAsia="zh-CN"/>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lang w:eastAsia="zh-CN"/>
        </w:rPr>
        <w:t>年度决算</w:t>
      </w:r>
      <w:r>
        <w:rPr>
          <w:rFonts w:hint="eastAsia" w:ascii="仿宋_GB2312" w:eastAsia="仿宋_GB2312"/>
          <w:color w:val="auto"/>
          <w:sz w:val="28"/>
          <w:szCs w:val="28"/>
          <w:lang w:val="en-US" w:eastAsia="zh-CN"/>
        </w:rPr>
        <w:t>247.97</w:t>
      </w:r>
      <w:r>
        <w:rPr>
          <w:rFonts w:hint="eastAsia" w:ascii="仿宋_GB2312" w:eastAsia="仿宋_GB2312"/>
          <w:color w:val="auto"/>
          <w:sz w:val="28"/>
          <w:szCs w:val="28"/>
          <w:lang w:eastAsia="zh-CN"/>
        </w:rPr>
        <w:t>万元，完成年初预算的</w:t>
      </w:r>
      <w:r>
        <w:rPr>
          <w:rFonts w:hint="eastAsia" w:ascii="仿宋_GB2312" w:eastAsia="仿宋_GB2312"/>
          <w:color w:val="auto"/>
          <w:sz w:val="28"/>
          <w:szCs w:val="28"/>
          <w:lang w:val="en-US" w:eastAsia="zh-CN"/>
        </w:rPr>
        <w:t>96.65</w:t>
      </w:r>
      <w:r>
        <w:rPr>
          <w:rFonts w:hint="eastAsia" w:ascii="仿宋_GB2312" w:eastAsia="仿宋_GB2312"/>
          <w:color w:val="auto"/>
          <w:sz w:val="28"/>
          <w:szCs w:val="28"/>
        </w:rPr>
        <w:t>%</w:t>
      </w:r>
      <w:r>
        <w:rPr>
          <w:rFonts w:hint="eastAsia" w:ascii="仿宋_GB2312" w:eastAsia="仿宋_GB2312"/>
          <w:color w:val="auto"/>
          <w:sz w:val="28"/>
          <w:szCs w:val="28"/>
          <w:lang w:eastAsia="zh-CN"/>
        </w:rPr>
        <w:t>。其中：</w:t>
      </w:r>
    </w:p>
    <w:p w14:paraId="6B7CAA65">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“行政单位医疗”</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196.43</w:t>
      </w:r>
      <w:r>
        <w:rPr>
          <w:rFonts w:hint="eastAsia" w:ascii="仿宋_GB2312" w:eastAsia="仿宋_GB2312"/>
          <w:color w:val="auto"/>
          <w:sz w:val="28"/>
          <w:szCs w:val="28"/>
        </w:rPr>
        <w:t>万元</w:t>
      </w:r>
      <w:r>
        <w:rPr>
          <w:rFonts w:hint="eastAsia" w:ascii="仿宋_GB2312" w:eastAsia="仿宋_GB2312"/>
          <w:color w:val="auto"/>
          <w:sz w:val="28"/>
          <w:szCs w:val="28"/>
          <w:lang w:eastAsia="zh-CN"/>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lang w:eastAsia="zh-CN"/>
        </w:rPr>
        <w:t>年度决算</w:t>
      </w:r>
      <w:r>
        <w:rPr>
          <w:rFonts w:hint="eastAsia" w:ascii="仿宋_GB2312" w:eastAsia="仿宋_GB2312"/>
          <w:color w:val="auto"/>
          <w:sz w:val="28"/>
          <w:szCs w:val="28"/>
          <w:lang w:val="en-US" w:eastAsia="zh-CN"/>
        </w:rPr>
        <w:t>189.85</w:t>
      </w:r>
      <w:r>
        <w:rPr>
          <w:rFonts w:hint="eastAsia" w:ascii="仿宋_GB2312" w:eastAsia="仿宋_GB2312"/>
          <w:color w:val="auto"/>
          <w:sz w:val="28"/>
          <w:szCs w:val="28"/>
          <w:lang w:eastAsia="zh-CN"/>
        </w:rPr>
        <w:t>万元，完成年初预算的</w:t>
      </w:r>
      <w:r>
        <w:rPr>
          <w:rFonts w:hint="eastAsia" w:ascii="仿宋_GB2312" w:eastAsia="仿宋_GB2312"/>
          <w:color w:val="auto"/>
          <w:sz w:val="28"/>
          <w:szCs w:val="28"/>
          <w:lang w:val="en-US" w:eastAsia="zh-CN"/>
        </w:rPr>
        <w:t>96.65</w:t>
      </w:r>
      <w:r>
        <w:rPr>
          <w:rFonts w:hint="eastAsia" w:ascii="仿宋_GB2312" w:eastAsia="仿宋_GB2312"/>
          <w:color w:val="auto"/>
          <w:sz w:val="28"/>
          <w:szCs w:val="28"/>
        </w:rPr>
        <w:t>%</w:t>
      </w:r>
      <w:r>
        <w:rPr>
          <w:rFonts w:hint="eastAsia" w:ascii="仿宋_GB2312" w:eastAsia="仿宋_GB2312"/>
          <w:color w:val="auto"/>
          <w:sz w:val="28"/>
          <w:szCs w:val="28"/>
          <w:lang w:eastAsia="zh-CN"/>
        </w:rPr>
        <w:t>。主要原因：</w:t>
      </w:r>
      <w:r>
        <w:rPr>
          <w:rFonts w:hint="eastAsia" w:ascii="仿宋_GB2312" w:eastAsia="仿宋_GB2312"/>
          <w:color w:val="auto"/>
          <w:sz w:val="28"/>
          <w:szCs w:val="28"/>
          <w:lang w:val="en-US" w:eastAsia="zh-CN"/>
        </w:rPr>
        <w:t>保险基数调整</w:t>
      </w:r>
      <w:r>
        <w:rPr>
          <w:rFonts w:hint="eastAsia" w:ascii="仿宋_GB2312" w:eastAsia="仿宋_GB2312"/>
          <w:color w:val="auto"/>
          <w:sz w:val="28"/>
          <w:szCs w:val="28"/>
          <w:lang w:eastAsia="zh-CN"/>
        </w:rPr>
        <w:t>。</w:t>
      </w:r>
    </w:p>
    <w:p w14:paraId="187C7064">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“公务员医疗补助”</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60.13</w:t>
      </w:r>
      <w:r>
        <w:rPr>
          <w:rFonts w:hint="eastAsia" w:ascii="仿宋_GB2312" w:eastAsia="仿宋_GB2312"/>
          <w:color w:val="auto"/>
          <w:sz w:val="28"/>
          <w:szCs w:val="28"/>
        </w:rPr>
        <w:t>万元</w:t>
      </w:r>
      <w:r>
        <w:rPr>
          <w:rFonts w:hint="eastAsia" w:ascii="仿宋_GB2312" w:eastAsia="仿宋_GB2312"/>
          <w:color w:val="auto"/>
          <w:sz w:val="28"/>
          <w:szCs w:val="28"/>
          <w:lang w:eastAsia="zh-CN"/>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lang w:eastAsia="zh-CN"/>
        </w:rPr>
        <w:t>年度决算</w:t>
      </w:r>
      <w:r>
        <w:rPr>
          <w:rFonts w:hint="eastAsia" w:ascii="仿宋_GB2312" w:eastAsia="仿宋_GB2312"/>
          <w:color w:val="auto"/>
          <w:sz w:val="28"/>
          <w:szCs w:val="28"/>
          <w:lang w:val="en-US" w:eastAsia="zh-CN"/>
        </w:rPr>
        <w:t>58.12</w:t>
      </w:r>
      <w:r>
        <w:rPr>
          <w:rFonts w:hint="eastAsia" w:ascii="仿宋_GB2312" w:eastAsia="仿宋_GB2312"/>
          <w:color w:val="auto"/>
          <w:sz w:val="28"/>
          <w:szCs w:val="28"/>
          <w:lang w:eastAsia="zh-CN"/>
        </w:rPr>
        <w:t>万元，完成年初预算的</w:t>
      </w:r>
      <w:r>
        <w:rPr>
          <w:rFonts w:hint="eastAsia" w:ascii="仿宋_GB2312" w:eastAsia="仿宋_GB2312"/>
          <w:color w:val="auto"/>
          <w:sz w:val="28"/>
          <w:szCs w:val="28"/>
          <w:lang w:val="en-US" w:eastAsia="zh-CN"/>
        </w:rPr>
        <w:t>96.65</w:t>
      </w:r>
      <w:r>
        <w:rPr>
          <w:rFonts w:hint="eastAsia" w:ascii="仿宋_GB2312" w:eastAsia="仿宋_GB2312"/>
          <w:color w:val="auto"/>
          <w:sz w:val="28"/>
          <w:szCs w:val="28"/>
        </w:rPr>
        <w:t>%</w:t>
      </w:r>
      <w:r>
        <w:rPr>
          <w:rFonts w:hint="eastAsia" w:ascii="仿宋_GB2312" w:eastAsia="仿宋_GB2312"/>
          <w:color w:val="auto"/>
          <w:sz w:val="28"/>
          <w:szCs w:val="28"/>
          <w:lang w:eastAsia="zh-CN"/>
        </w:rPr>
        <w:t>。主要原因：</w:t>
      </w:r>
      <w:r>
        <w:rPr>
          <w:rFonts w:hint="eastAsia" w:ascii="仿宋_GB2312" w:eastAsia="仿宋_GB2312"/>
          <w:color w:val="auto"/>
          <w:sz w:val="28"/>
          <w:szCs w:val="28"/>
          <w:lang w:val="en-US" w:eastAsia="zh-CN"/>
        </w:rPr>
        <w:t>保险基数调整</w:t>
      </w:r>
      <w:r>
        <w:rPr>
          <w:rFonts w:hint="eastAsia" w:ascii="仿宋_GB2312" w:eastAsia="仿宋_GB2312"/>
          <w:color w:val="auto"/>
          <w:sz w:val="28"/>
          <w:szCs w:val="28"/>
          <w:lang w:eastAsia="zh-CN"/>
        </w:rPr>
        <w:t>。</w:t>
      </w:r>
    </w:p>
    <w:p w14:paraId="61D80F94">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3</w:t>
      </w:r>
      <w:r>
        <w:rPr>
          <w:rFonts w:hint="eastAsia" w:ascii="仿宋_GB2312" w:eastAsia="仿宋_GB2312"/>
          <w:color w:val="auto"/>
          <w:sz w:val="28"/>
          <w:szCs w:val="28"/>
          <w:lang w:eastAsia="zh-CN"/>
        </w:rPr>
        <w:t>.“农林水支出”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2673.45</w:t>
      </w:r>
      <w:r>
        <w:rPr>
          <w:rFonts w:hint="eastAsia" w:ascii="仿宋_GB2312" w:eastAsia="仿宋_GB2312"/>
          <w:color w:val="auto"/>
          <w:sz w:val="28"/>
          <w:szCs w:val="28"/>
        </w:rPr>
        <w:t>万元</w:t>
      </w:r>
      <w:r>
        <w:rPr>
          <w:rFonts w:hint="eastAsia" w:ascii="仿宋_GB2312" w:eastAsia="仿宋_GB2312"/>
          <w:color w:val="auto"/>
          <w:sz w:val="28"/>
          <w:szCs w:val="28"/>
          <w:lang w:eastAsia="zh-CN"/>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lang w:eastAsia="zh-CN"/>
        </w:rPr>
        <w:t>年度决算</w:t>
      </w:r>
      <w:r>
        <w:rPr>
          <w:rFonts w:hint="eastAsia" w:ascii="仿宋_GB2312" w:eastAsia="仿宋_GB2312"/>
          <w:color w:val="auto"/>
          <w:sz w:val="28"/>
          <w:szCs w:val="28"/>
          <w:lang w:val="en-US" w:eastAsia="zh-CN"/>
        </w:rPr>
        <w:t>2642.04</w:t>
      </w:r>
      <w:r>
        <w:rPr>
          <w:rFonts w:hint="eastAsia" w:ascii="仿宋_GB2312" w:eastAsia="仿宋_GB2312"/>
          <w:color w:val="auto"/>
          <w:sz w:val="28"/>
          <w:szCs w:val="28"/>
          <w:lang w:eastAsia="zh-CN"/>
        </w:rPr>
        <w:t>万元，完成年初预算的</w:t>
      </w:r>
      <w:r>
        <w:rPr>
          <w:rFonts w:hint="eastAsia" w:ascii="仿宋_GB2312" w:eastAsia="仿宋_GB2312"/>
          <w:color w:val="auto"/>
          <w:sz w:val="28"/>
          <w:szCs w:val="28"/>
          <w:lang w:val="en-US" w:eastAsia="zh-CN"/>
        </w:rPr>
        <w:t>98.83</w:t>
      </w:r>
      <w:r>
        <w:rPr>
          <w:rFonts w:hint="eastAsia" w:ascii="仿宋_GB2312" w:eastAsia="仿宋_GB2312"/>
          <w:color w:val="auto"/>
          <w:sz w:val="28"/>
          <w:szCs w:val="28"/>
        </w:rPr>
        <w:t>%</w:t>
      </w:r>
      <w:r>
        <w:rPr>
          <w:rFonts w:hint="eastAsia" w:ascii="仿宋_GB2312" w:eastAsia="仿宋_GB2312"/>
          <w:color w:val="auto"/>
          <w:sz w:val="28"/>
          <w:szCs w:val="28"/>
          <w:lang w:eastAsia="zh-CN"/>
        </w:rPr>
        <w:t>。其中：</w:t>
      </w:r>
    </w:p>
    <w:p w14:paraId="13643DFD">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“行政运行”</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2269.63</w:t>
      </w:r>
      <w:r>
        <w:rPr>
          <w:rFonts w:hint="eastAsia" w:ascii="仿宋_GB2312" w:eastAsia="仿宋_GB2312"/>
          <w:color w:val="auto"/>
          <w:sz w:val="28"/>
          <w:szCs w:val="28"/>
        </w:rPr>
        <w:t>万元</w:t>
      </w:r>
      <w:r>
        <w:rPr>
          <w:rFonts w:hint="eastAsia" w:ascii="仿宋_GB2312" w:eastAsia="仿宋_GB2312"/>
          <w:color w:val="auto"/>
          <w:sz w:val="28"/>
          <w:szCs w:val="28"/>
          <w:lang w:eastAsia="zh-CN"/>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lang w:eastAsia="zh-CN"/>
        </w:rPr>
        <w:t>年度决算</w:t>
      </w:r>
      <w:r>
        <w:rPr>
          <w:rFonts w:hint="eastAsia" w:ascii="仿宋_GB2312" w:eastAsia="仿宋_GB2312"/>
          <w:color w:val="auto"/>
          <w:sz w:val="28"/>
          <w:szCs w:val="28"/>
          <w:lang w:val="en-US" w:eastAsia="zh-CN"/>
        </w:rPr>
        <w:t>2166.33</w:t>
      </w:r>
      <w:r>
        <w:rPr>
          <w:rFonts w:hint="eastAsia" w:ascii="仿宋_GB2312" w:eastAsia="仿宋_GB2312"/>
          <w:color w:val="auto"/>
          <w:sz w:val="28"/>
          <w:szCs w:val="28"/>
          <w:lang w:eastAsia="zh-CN"/>
        </w:rPr>
        <w:t>万元，完成年初预算的</w:t>
      </w:r>
      <w:r>
        <w:rPr>
          <w:rFonts w:hint="eastAsia" w:ascii="仿宋_GB2312" w:eastAsia="仿宋_GB2312"/>
          <w:color w:val="auto"/>
          <w:sz w:val="28"/>
          <w:szCs w:val="28"/>
          <w:lang w:val="en-US" w:eastAsia="zh-CN"/>
        </w:rPr>
        <w:t>95.44</w:t>
      </w:r>
      <w:r>
        <w:rPr>
          <w:rFonts w:hint="eastAsia" w:ascii="仿宋_GB2312" w:eastAsia="仿宋_GB2312"/>
          <w:color w:val="auto"/>
          <w:sz w:val="28"/>
          <w:szCs w:val="28"/>
        </w:rPr>
        <w:t>%</w:t>
      </w:r>
      <w:r>
        <w:rPr>
          <w:rFonts w:hint="eastAsia" w:ascii="仿宋_GB2312" w:eastAsia="仿宋_GB2312"/>
          <w:color w:val="auto"/>
          <w:sz w:val="28"/>
          <w:szCs w:val="28"/>
          <w:lang w:eastAsia="zh-CN"/>
        </w:rPr>
        <w:t>。主要原因：减少的主要为在职人员公用经费支出，在不影响正常办公的同时，减少没必要的公用经费支出，节约财政资金。</w:t>
      </w:r>
    </w:p>
    <w:p w14:paraId="72AC3C44">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“病虫害控制”</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138.49</w:t>
      </w:r>
      <w:r>
        <w:rPr>
          <w:rFonts w:hint="eastAsia" w:ascii="仿宋_GB2312" w:eastAsia="仿宋_GB2312"/>
          <w:color w:val="auto"/>
          <w:sz w:val="28"/>
          <w:szCs w:val="28"/>
        </w:rPr>
        <w:t>万元</w:t>
      </w:r>
      <w:r>
        <w:rPr>
          <w:rFonts w:hint="eastAsia" w:ascii="仿宋_GB2312" w:eastAsia="仿宋_GB2312"/>
          <w:color w:val="auto"/>
          <w:sz w:val="28"/>
          <w:szCs w:val="28"/>
          <w:lang w:eastAsia="zh-CN"/>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lang w:eastAsia="zh-CN"/>
        </w:rPr>
        <w:t>年度决算</w:t>
      </w:r>
      <w:r>
        <w:rPr>
          <w:rFonts w:hint="eastAsia" w:ascii="仿宋_GB2312" w:eastAsia="仿宋_GB2312"/>
          <w:color w:val="auto"/>
          <w:sz w:val="28"/>
          <w:szCs w:val="28"/>
          <w:lang w:val="en-US" w:eastAsia="zh-CN"/>
        </w:rPr>
        <w:t>96.03</w:t>
      </w:r>
      <w:r>
        <w:rPr>
          <w:rFonts w:hint="eastAsia" w:ascii="仿宋_GB2312" w:eastAsia="仿宋_GB2312"/>
          <w:color w:val="auto"/>
          <w:sz w:val="28"/>
          <w:szCs w:val="28"/>
          <w:lang w:eastAsia="zh-CN"/>
        </w:rPr>
        <w:t>万元，完成年初预算的</w:t>
      </w:r>
      <w:r>
        <w:rPr>
          <w:rFonts w:hint="eastAsia" w:ascii="仿宋_GB2312" w:eastAsia="仿宋_GB2312"/>
          <w:color w:val="auto"/>
          <w:sz w:val="28"/>
          <w:szCs w:val="28"/>
          <w:lang w:val="en-US" w:eastAsia="zh-CN"/>
        </w:rPr>
        <w:t>69.34</w:t>
      </w:r>
      <w:r>
        <w:rPr>
          <w:rFonts w:hint="eastAsia" w:ascii="仿宋_GB2312" w:eastAsia="仿宋_GB2312"/>
          <w:color w:val="auto"/>
          <w:sz w:val="28"/>
          <w:szCs w:val="28"/>
        </w:rPr>
        <w:t>%</w:t>
      </w:r>
      <w:r>
        <w:rPr>
          <w:rFonts w:hint="eastAsia" w:ascii="仿宋_GB2312" w:eastAsia="仿宋_GB2312"/>
          <w:color w:val="auto"/>
          <w:sz w:val="28"/>
          <w:szCs w:val="28"/>
          <w:lang w:eastAsia="zh-CN"/>
        </w:rPr>
        <w:t>。主要原因：有需要按实际发生情况做支出的项目，未支出。</w:t>
      </w:r>
    </w:p>
    <w:p w14:paraId="6088DCBF">
      <w:pPr>
        <w:spacing w:line="580" w:lineRule="exact"/>
        <w:ind w:firstLine="560" w:firstLineChars="200"/>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“执法监管”</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41.25</w:t>
      </w:r>
      <w:r>
        <w:rPr>
          <w:rFonts w:hint="eastAsia" w:ascii="仿宋_GB2312" w:eastAsia="仿宋_GB2312"/>
          <w:color w:val="auto"/>
          <w:sz w:val="28"/>
          <w:szCs w:val="28"/>
        </w:rPr>
        <w:t>万元</w:t>
      </w:r>
      <w:r>
        <w:rPr>
          <w:rFonts w:hint="eastAsia" w:ascii="仿宋_GB2312" w:eastAsia="仿宋_GB2312"/>
          <w:color w:val="auto"/>
          <w:sz w:val="28"/>
          <w:szCs w:val="28"/>
          <w:lang w:eastAsia="zh-CN"/>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lang w:eastAsia="zh-CN"/>
        </w:rPr>
        <w:t>年度决算</w:t>
      </w:r>
      <w:r>
        <w:rPr>
          <w:rFonts w:hint="eastAsia" w:ascii="仿宋_GB2312" w:eastAsia="仿宋_GB2312"/>
          <w:color w:val="auto"/>
          <w:sz w:val="28"/>
          <w:szCs w:val="28"/>
          <w:lang w:val="en-US" w:eastAsia="zh-CN"/>
        </w:rPr>
        <w:t>25.74</w:t>
      </w:r>
      <w:r>
        <w:rPr>
          <w:rFonts w:hint="eastAsia" w:ascii="仿宋_GB2312" w:eastAsia="仿宋_GB2312"/>
          <w:color w:val="auto"/>
          <w:sz w:val="28"/>
          <w:szCs w:val="28"/>
          <w:lang w:eastAsia="zh-CN"/>
        </w:rPr>
        <w:t>万元，完成年初预算的</w:t>
      </w:r>
      <w:r>
        <w:rPr>
          <w:rFonts w:hint="eastAsia" w:ascii="仿宋_GB2312" w:eastAsia="仿宋_GB2312"/>
          <w:color w:val="auto"/>
          <w:sz w:val="28"/>
          <w:szCs w:val="28"/>
          <w:lang w:val="en-US" w:eastAsia="zh-CN"/>
        </w:rPr>
        <w:t>62.4</w:t>
      </w:r>
      <w:r>
        <w:rPr>
          <w:rFonts w:hint="eastAsia" w:ascii="仿宋_GB2312" w:eastAsia="仿宋_GB2312"/>
          <w:color w:val="auto"/>
          <w:sz w:val="28"/>
          <w:szCs w:val="28"/>
        </w:rPr>
        <w:t>%</w:t>
      </w:r>
      <w:r>
        <w:rPr>
          <w:rFonts w:hint="eastAsia" w:ascii="仿宋_GB2312" w:eastAsia="仿宋_GB2312"/>
          <w:color w:val="auto"/>
          <w:sz w:val="28"/>
          <w:szCs w:val="28"/>
          <w:lang w:eastAsia="zh-CN"/>
        </w:rPr>
        <w:t>。主要原因：项目主要用于接诉即办、投诉举报等相关支出，需要按照实际情况支出。</w:t>
      </w:r>
    </w:p>
    <w:p w14:paraId="5207C818">
      <w:pPr>
        <w:spacing w:line="580" w:lineRule="exact"/>
        <w:ind w:firstLine="560" w:firstLineChars="200"/>
        <w:rPr>
          <w:rFonts w:hint="default" w:ascii="仿宋_GB2312" w:eastAsia="仿宋_GB2312"/>
          <w:color w:val="auto"/>
          <w:sz w:val="28"/>
          <w:szCs w:val="28"/>
          <w:lang w:val="en-US" w:eastAsia="zh-CN"/>
        </w:rPr>
      </w:pPr>
      <w:r>
        <w:rPr>
          <w:rFonts w:hint="eastAsia" w:ascii="仿宋_GB2312" w:eastAsia="仿宋_GB2312"/>
          <w:color w:val="auto"/>
          <w:sz w:val="28"/>
          <w:szCs w:val="28"/>
          <w:lang w:eastAsia="zh-CN"/>
        </w:rPr>
        <w:t>“其他农业农村支出”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224.08</w:t>
      </w:r>
      <w:r>
        <w:rPr>
          <w:rFonts w:hint="eastAsia" w:ascii="仿宋_GB2312" w:eastAsia="仿宋_GB2312"/>
          <w:color w:val="auto"/>
          <w:sz w:val="28"/>
          <w:szCs w:val="28"/>
        </w:rPr>
        <w:t>万元</w:t>
      </w:r>
      <w:r>
        <w:rPr>
          <w:rFonts w:hint="eastAsia" w:ascii="仿宋_GB2312" w:eastAsia="仿宋_GB2312"/>
          <w:color w:val="auto"/>
          <w:sz w:val="28"/>
          <w:szCs w:val="28"/>
          <w:lang w:eastAsia="zh-CN"/>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lang w:eastAsia="zh-CN"/>
        </w:rPr>
        <w:t>年度决算</w:t>
      </w:r>
      <w:r>
        <w:rPr>
          <w:rFonts w:hint="eastAsia" w:ascii="仿宋_GB2312" w:eastAsia="仿宋_GB2312"/>
          <w:color w:val="auto"/>
          <w:sz w:val="28"/>
          <w:szCs w:val="28"/>
          <w:lang w:val="en-US" w:eastAsia="zh-CN"/>
        </w:rPr>
        <w:t>353.94</w:t>
      </w:r>
      <w:r>
        <w:rPr>
          <w:rFonts w:hint="eastAsia" w:ascii="仿宋_GB2312" w:eastAsia="仿宋_GB2312"/>
          <w:color w:val="auto"/>
          <w:sz w:val="28"/>
          <w:szCs w:val="28"/>
          <w:lang w:eastAsia="zh-CN"/>
        </w:rPr>
        <w:t>万元，完成年初预算的</w:t>
      </w:r>
      <w:r>
        <w:rPr>
          <w:rFonts w:hint="eastAsia" w:ascii="仿宋_GB2312" w:eastAsia="仿宋_GB2312"/>
          <w:color w:val="auto"/>
          <w:sz w:val="28"/>
          <w:szCs w:val="28"/>
          <w:lang w:val="en-US" w:eastAsia="zh-CN"/>
        </w:rPr>
        <w:t>157.95</w:t>
      </w:r>
      <w:r>
        <w:rPr>
          <w:rFonts w:hint="eastAsia" w:ascii="仿宋_GB2312" w:eastAsia="仿宋_GB2312"/>
          <w:color w:val="auto"/>
          <w:sz w:val="28"/>
          <w:szCs w:val="28"/>
        </w:rPr>
        <w:t>%</w:t>
      </w:r>
      <w:r>
        <w:rPr>
          <w:rFonts w:hint="eastAsia" w:ascii="仿宋_GB2312" w:eastAsia="仿宋_GB2312"/>
          <w:color w:val="auto"/>
          <w:sz w:val="28"/>
          <w:szCs w:val="28"/>
          <w:lang w:eastAsia="zh-CN"/>
        </w:rPr>
        <w:t>。主要原因：本年辅助用工人员变化较大，调入</w:t>
      </w:r>
      <w:r>
        <w:rPr>
          <w:rFonts w:hint="eastAsia" w:ascii="仿宋_GB2312" w:eastAsia="仿宋_GB2312"/>
          <w:color w:val="auto"/>
          <w:sz w:val="28"/>
          <w:szCs w:val="28"/>
          <w:lang w:val="en-US" w:eastAsia="zh-CN"/>
        </w:rPr>
        <w:t>8人，新增6人，人员经费增加。</w:t>
      </w:r>
    </w:p>
    <w:p w14:paraId="6126095B">
      <w:pPr>
        <w:spacing w:line="580" w:lineRule="exact"/>
        <w:ind w:firstLine="560" w:firstLineChars="2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4.“住房保障支出”2024年度决算250.64万元，其中：</w:t>
      </w:r>
    </w:p>
    <w:p w14:paraId="61ACCB72">
      <w:pPr>
        <w:spacing w:line="580" w:lineRule="exact"/>
        <w:ind w:firstLine="560" w:firstLineChars="200"/>
        <w:rPr>
          <w:rFonts w:hint="eastAsia" w:ascii="仿宋_GB2312" w:eastAsia="仿宋_GB2312"/>
          <w:sz w:val="28"/>
          <w:szCs w:val="28"/>
        </w:rPr>
      </w:pPr>
      <w:r>
        <w:rPr>
          <w:rFonts w:hint="eastAsia" w:ascii="仿宋_GB2312" w:eastAsia="仿宋_GB2312"/>
          <w:color w:val="auto"/>
          <w:sz w:val="28"/>
          <w:szCs w:val="28"/>
          <w:lang w:val="en-US" w:eastAsia="zh-CN"/>
        </w:rPr>
        <w:t>“购房补贴”2024年度决算250.64万元。主要原因：归集调入补发无房职工住房补贴。</w:t>
      </w:r>
    </w:p>
    <w:p w14:paraId="6D08B34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6677512C">
      <w:pPr>
        <w:spacing w:line="580" w:lineRule="exact"/>
        <w:ind w:firstLine="1120" w:firstLineChars="4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本单位无此项支出。</w:t>
      </w:r>
    </w:p>
    <w:p w14:paraId="1A5DD889">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7A7CABD5">
      <w:pPr>
        <w:spacing w:line="580" w:lineRule="exact"/>
        <w:ind w:firstLine="1120" w:firstLineChars="400"/>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本单位无此项支出。</w:t>
      </w:r>
    </w:p>
    <w:p w14:paraId="0A041972">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7642CEBE">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2983.11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w:t>
      </w:r>
      <w:r>
        <w:rPr>
          <w:rFonts w:hint="eastAsia" w:ascii="仿宋_GB2312" w:eastAsia="仿宋_GB2312"/>
          <w:sz w:val="28"/>
          <w:szCs w:val="28"/>
          <w:lang w:val="en-US" w:eastAsia="zh-CN"/>
        </w:rPr>
        <w:t>2815.41万元，</w:t>
      </w:r>
      <w:r>
        <w:rPr>
          <w:rFonts w:hint="eastAsia" w:ascii="仿宋_GB2312" w:eastAsia="仿宋_GB2312"/>
          <w:sz w:val="28"/>
          <w:szCs w:val="28"/>
        </w:rPr>
        <w:t>包括</w:t>
      </w:r>
      <w:r>
        <w:rPr>
          <w:rFonts w:hint="eastAsia" w:ascii="仿宋_GB2312" w:eastAsia="仿宋_GB2312"/>
          <w:sz w:val="28"/>
          <w:szCs w:val="28"/>
          <w:lang w:eastAsia="zh-CN"/>
        </w:rPr>
        <w:t>：</w:t>
      </w:r>
      <w:r>
        <w:rPr>
          <w:rFonts w:hint="eastAsia" w:ascii="仿宋_GB2312" w:eastAsia="仿宋_GB2312"/>
          <w:sz w:val="28"/>
          <w:szCs w:val="28"/>
        </w:rPr>
        <w:t>基本工资</w:t>
      </w:r>
      <w:r>
        <w:rPr>
          <w:rFonts w:hint="eastAsia" w:ascii="仿宋_GB2312" w:eastAsia="仿宋_GB2312"/>
          <w:sz w:val="28"/>
          <w:szCs w:val="28"/>
          <w:lang w:val="en-US" w:eastAsia="zh-CN"/>
        </w:rPr>
        <w:t>340.79万元</w:t>
      </w:r>
      <w:r>
        <w:rPr>
          <w:rFonts w:ascii="仿宋_GB2312" w:eastAsia="仿宋_GB2312"/>
          <w:sz w:val="28"/>
          <w:szCs w:val="28"/>
        </w:rPr>
        <w:t>、津贴补贴</w:t>
      </w:r>
      <w:r>
        <w:rPr>
          <w:rFonts w:hint="eastAsia" w:ascii="仿宋_GB2312" w:eastAsia="仿宋_GB2312"/>
          <w:sz w:val="28"/>
          <w:szCs w:val="28"/>
          <w:lang w:val="en-US" w:eastAsia="zh-CN"/>
        </w:rPr>
        <w:t>1134.03万元</w:t>
      </w:r>
      <w:r>
        <w:rPr>
          <w:rFonts w:ascii="仿宋_GB2312" w:eastAsia="仿宋_GB2312"/>
          <w:sz w:val="28"/>
          <w:szCs w:val="28"/>
        </w:rPr>
        <w:t>、</w:t>
      </w:r>
      <w:r>
        <w:rPr>
          <w:rFonts w:hint="eastAsia" w:ascii="仿宋_GB2312" w:eastAsia="仿宋_GB2312"/>
          <w:sz w:val="28"/>
          <w:szCs w:val="28"/>
          <w:lang w:eastAsia="zh-CN"/>
        </w:rPr>
        <w:t>奖金</w:t>
      </w:r>
      <w:r>
        <w:rPr>
          <w:rFonts w:hint="eastAsia" w:ascii="仿宋_GB2312" w:eastAsia="仿宋_GB2312"/>
          <w:sz w:val="28"/>
          <w:szCs w:val="28"/>
          <w:lang w:val="en-US" w:eastAsia="zh-CN"/>
        </w:rPr>
        <w:t>571.24万元</w:t>
      </w:r>
      <w:r>
        <w:rPr>
          <w:rFonts w:ascii="仿宋_GB2312" w:eastAsia="仿宋_GB2312"/>
          <w:sz w:val="28"/>
          <w:szCs w:val="28"/>
        </w:rPr>
        <w:t>、</w:t>
      </w:r>
      <w:r>
        <w:rPr>
          <w:rFonts w:hint="eastAsia" w:ascii="仿宋_GB2312" w:eastAsia="仿宋_GB2312"/>
          <w:sz w:val="28"/>
          <w:szCs w:val="28"/>
          <w:lang w:eastAsia="zh-CN"/>
        </w:rPr>
        <w:t>机关事业单位基本养老保险缴费</w:t>
      </w:r>
      <w:r>
        <w:rPr>
          <w:rFonts w:hint="eastAsia" w:ascii="仿宋_GB2312" w:eastAsia="仿宋_GB2312"/>
          <w:sz w:val="28"/>
          <w:szCs w:val="28"/>
          <w:lang w:val="en-US" w:eastAsia="zh-CN"/>
        </w:rPr>
        <w:t>207.45万元</w:t>
      </w:r>
      <w:r>
        <w:rPr>
          <w:rFonts w:ascii="仿宋_GB2312" w:eastAsia="仿宋_GB2312"/>
          <w:sz w:val="28"/>
          <w:szCs w:val="28"/>
        </w:rPr>
        <w:t>、</w:t>
      </w:r>
      <w:r>
        <w:rPr>
          <w:rFonts w:hint="eastAsia" w:ascii="仿宋_GB2312" w:eastAsia="仿宋_GB2312"/>
          <w:sz w:val="28"/>
          <w:szCs w:val="28"/>
          <w:lang w:val="en-US" w:eastAsia="zh-CN"/>
        </w:rPr>
        <w:t>职业年金缴费103.73万元</w:t>
      </w:r>
      <w:r>
        <w:rPr>
          <w:rFonts w:ascii="仿宋_GB2312" w:eastAsia="仿宋_GB2312"/>
          <w:sz w:val="28"/>
          <w:szCs w:val="28"/>
        </w:rPr>
        <w:t>、</w:t>
      </w:r>
      <w:r>
        <w:rPr>
          <w:rFonts w:hint="eastAsia" w:ascii="仿宋_GB2312" w:eastAsia="仿宋_GB2312"/>
          <w:sz w:val="28"/>
          <w:szCs w:val="28"/>
          <w:lang w:eastAsia="zh-CN"/>
        </w:rPr>
        <w:t>职工基本医疗保险缴费</w:t>
      </w:r>
      <w:r>
        <w:rPr>
          <w:rFonts w:hint="eastAsia" w:ascii="仿宋_GB2312" w:eastAsia="仿宋_GB2312"/>
          <w:sz w:val="28"/>
          <w:szCs w:val="28"/>
          <w:lang w:val="en-US" w:eastAsia="zh-CN"/>
        </w:rPr>
        <w:t>189.85万元、公务员医疗补助缴费58.12万元、</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color w:val="auto"/>
          <w:sz w:val="28"/>
          <w:szCs w:val="28"/>
          <w:lang w:val="en-US" w:eastAsia="zh-CN"/>
        </w:rPr>
        <w:t>7.53万元</w:t>
      </w:r>
      <w:r>
        <w:rPr>
          <w:rFonts w:ascii="仿宋_GB2312" w:eastAsia="仿宋_GB2312"/>
          <w:color w:val="auto"/>
          <w:sz w:val="28"/>
          <w:szCs w:val="28"/>
        </w:rPr>
        <w:t>、</w:t>
      </w:r>
      <w:r>
        <w:rPr>
          <w:rFonts w:hint="eastAsia" w:ascii="仿宋_GB2312" w:eastAsia="仿宋_GB2312"/>
          <w:color w:val="auto"/>
          <w:sz w:val="28"/>
          <w:szCs w:val="28"/>
          <w:lang w:eastAsia="zh-CN"/>
        </w:rPr>
        <w:t>住房公积金</w:t>
      </w:r>
      <w:r>
        <w:rPr>
          <w:rFonts w:hint="eastAsia" w:ascii="仿宋_GB2312" w:eastAsia="仿宋_GB2312"/>
          <w:color w:val="auto"/>
          <w:sz w:val="28"/>
          <w:szCs w:val="28"/>
          <w:lang w:val="en-US" w:eastAsia="zh-CN"/>
        </w:rPr>
        <w:t>202.67万元</w:t>
      </w:r>
      <w:r>
        <w:rPr>
          <w:rFonts w:hint="eastAsia" w:ascii="仿宋_GB2312" w:eastAsia="仿宋_GB2312"/>
          <w:color w:val="auto"/>
          <w:sz w:val="28"/>
          <w:szCs w:val="28"/>
        </w:rPr>
        <w:t>；（2）商品和服务支出</w:t>
      </w:r>
      <w:r>
        <w:rPr>
          <w:rFonts w:hint="eastAsia" w:ascii="仿宋_GB2312" w:eastAsia="仿宋_GB2312"/>
          <w:color w:val="auto"/>
          <w:sz w:val="28"/>
          <w:szCs w:val="28"/>
          <w:lang w:val="en-US" w:eastAsia="zh-CN"/>
        </w:rPr>
        <w:t>161.1万元，</w:t>
      </w:r>
      <w:r>
        <w:rPr>
          <w:rFonts w:hint="eastAsia" w:ascii="仿宋_GB2312" w:eastAsia="仿宋_GB2312"/>
          <w:color w:val="auto"/>
          <w:sz w:val="28"/>
          <w:szCs w:val="28"/>
        </w:rPr>
        <w:t>包括</w:t>
      </w:r>
      <w:r>
        <w:rPr>
          <w:rFonts w:hint="eastAsia" w:ascii="仿宋_GB2312" w:eastAsia="仿宋_GB2312"/>
          <w:color w:val="auto"/>
          <w:sz w:val="28"/>
          <w:szCs w:val="28"/>
          <w:lang w:eastAsia="zh-CN"/>
        </w:rPr>
        <w:t>：</w:t>
      </w:r>
      <w:r>
        <w:rPr>
          <w:rFonts w:ascii="仿宋_GB2312" w:eastAsia="仿宋_GB2312"/>
          <w:color w:val="auto"/>
          <w:sz w:val="28"/>
          <w:szCs w:val="28"/>
        </w:rPr>
        <w:t>办公费</w:t>
      </w:r>
      <w:r>
        <w:rPr>
          <w:rFonts w:hint="eastAsia" w:ascii="仿宋_GB2312" w:eastAsia="仿宋_GB2312"/>
          <w:color w:val="auto"/>
          <w:sz w:val="28"/>
          <w:szCs w:val="28"/>
          <w:lang w:val="en-US" w:eastAsia="zh-CN"/>
        </w:rPr>
        <w:t>6.26万元</w:t>
      </w:r>
      <w:r>
        <w:rPr>
          <w:rFonts w:ascii="仿宋_GB2312" w:eastAsia="仿宋_GB2312"/>
          <w:color w:val="auto"/>
          <w:sz w:val="28"/>
          <w:szCs w:val="28"/>
        </w:rPr>
        <w:t>、手续费</w:t>
      </w:r>
      <w:r>
        <w:rPr>
          <w:rFonts w:hint="eastAsia" w:ascii="仿宋_GB2312" w:eastAsia="仿宋_GB2312"/>
          <w:color w:val="auto"/>
          <w:sz w:val="28"/>
          <w:szCs w:val="28"/>
          <w:lang w:val="en-US" w:eastAsia="zh-CN"/>
        </w:rPr>
        <w:t>0.1万元、</w:t>
      </w:r>
      <w:r>
        <w:rPr>
          <w:rFonts w:ascii="仿宋_GB2312" w:eastAsia="仿宋_GB2312"/>
          <w:sz w:val="28"/>
          <w:szCs w:val="28"/>
        </w:rPr>
        <w:t>邮电费</w:t>
      </w:r>
      <w:r>
        <w:rPr>
          <w:rFonts w:hint="eastAsia" w:ascii="仿宋_GB2312" w:eastAsia="仿宋_GB2312"/>
          <w:sz w:val="28"/>
          <w:szCs w:val="28"/>
          <w:lang w:val="en-US" w:eastAsia="zh-CN"/>
        </w:rPr>
        <w:t>1.48万元</w:t>
      </w:r>
      <w:r>
        <w:rPr>
          <w:rFonts w:ascii="仿宋_GB2312" w:eastAsia="仿宋_GB2312"/>
          <w:sz w:val="28"/>
          <w:szCs w:val="28"/>
        </w:rPr>
        <w:t>、差旅费</w:t>
      </w:r>
      <w:r>
        <w:rPr>
          <w:rFonts w:hint="eastAsia" w:ascii="仿宋_GB2312" w:eastAsia="仿宋_GB2312"/>
          <w:sz w:val="28"/>
          <w:szCs w:val="28"/>
          <w:lang w:val="en-US" w:eastAsia="zh-CN"/>
        </w:rPr>
        <w:t>1.69万元</w:t>
      </w:r>
      <w:r>
        <w:rPr>
          <w:rFonts w:ascii="仿宋_GB2312" w:eastAsia="仿宋_GB2312"/>
          <w:sz w:val="28"/>
          <w:szCs w:val="28"/>
        </w:rPr>
        <w:t>、维修（护）费</w:t>
      </w:r>
      <w:r>
        <w:rPr>
          <w:rFonts w:hint="eastAsia" w:ascii="仿宋_GB2312" w:eastAsia="仿宋_GB2312"/>
          <w:sz w:val="28"/>
          <w:szCs w:val="28"/>
          <w:lang w:val="en-US" w:eastAsia="zh-CN"/>
        </w:rPr>
        <w:t>6.18万元</w:t>
      </w:r>
      <w:r>
        <w:rPr>
          <w:rFonts w:ascii="仿宋_GB2312" w:eastAsia="仿宋_GB2312"/>
          <w:sz w:val="28"/>
          <w:szCs w:val="28"/>
        </w:rPr>
        <w:t>、工会经费</w:t>
      </w:r>
      <w:r>
        <w:rPr>
          <w:rFonts w:hint="eastAsia" w:ascii="仿宋_GB2312" w:eastAsia="仿宋_GB2312"/>
          <w:sz w:val="28"/>
          <w:szCs w:val="28"/>
          <w:lang w:val="en-US" w:eastAsia="zh-CN"/>
        </w:rPr>
        <w:t>35.51万元</w:t>
      </w:r>
      <w:r>
        <w:rPr>
          <w:rFonts w:ascii="仿宋_GB2312" w:eastAsia="仿宋_GB2312"/>
          <w:sz w:val="28"/>
          <w:szCs w:val="28"/>
        </w:rPr>
        <w:t>、福利费</w:t>
      </w:r>
      <w:r>
        <w:rPr>
          <w:rFonts w:hint="eastAsia" w:ascii="仿宋_GB2312" w:eastAsia="仿宋_GB2312"/>
          <w:sz w:val="28"/>
          <w:szCs w:val="28"/>
          <w:lang w:val="en-US" w:eastAsia="zh-CN"/>
        </w:rPr>
        <w:t>20.92万元</w:t>
      </w:r>
      <w:r>
        <w:rPr>
          <w:rFonts w:ascii="仿宋_GB2312" w:eastAsia="仿宋_GB2312"/>
          <w:sz w:val="28"/>
          <w:szCs w:val="28"/>
        </w:rPr>
        <w:t>、公务用车运行维护费</w:t>
      </w:r>
      <w:r>
        <w:rPr>
          <w:rFonts w:hint="eastAsia" w:ascii="仿宋_GB2312" w:eastAsia="仿宋_GB2312"/>
          <w:sz w:val="28"/>
          <w:szCs w:val="28"/>
          <w:lang w:val="en-US" w:eastAsia="zh-CN"/>
        </w:rPr>
        <w:t>12.83万元</w:t>
      </w:r>
      <w:r>
        <w:rPr>
          <w:rFonts w:ascii="仿宋_GB2312" w:eastAsia="仿宋_GB2312"/>
          <w:sz w:val="28"/>
          <w:szCs w:val="28"/>
        </w:rPr>
        <w:t>、其他交通费</w:t>
      </w:r>
      <w:r>
        <w:rPr>
          <w:rFonts w:hint="eastAsia" w:ascii="仿宋_GB2312" w:eastAsia="仿宋_GB2312"/>
          <w:sz w:val="28"/>
          <w:szCs w:val="28"/>
          <w:lang w:val="en-US" w:eastAsia="zh-CN"/>
        </w:rPr>
        <w:t>63.72万元</w:t>
      </w:r>
      <w:r>
        <w:rPr>
          <w:rFonts w:ascii="仿宋_GB2312" w:eastAsia="仿宋_GB2312"/>
          <w:sz w:val="28"/>
          <w:szCs w:val="28"/>
        </w:rPr>
        <w:t>、其他商品和服务</w:t>
      </w:r>
      <w:r>
        <w:rPr>
          <w:rFonts w:hint="eastAsia" w:ascii="仿宋_GB2312" w:eastAsia="仿宋_GB2312"/>
          <w:sz w:val="28"/>
          <w:szCs w:val="28"/>
          <w:lang w:val="en-US" w:eastAsia="zh-CN"/>
        </w:rPr>
        <w:t>12.41</w:t>
      </w:r>
      <w:r>
        <w:rPr>
          <w:rFonts w:hint="eastAsia" w:ascii="仿宋_GB2312" w:eastAsia="仿宋_GB2312"/>
          <w:sz w:val="28"/>
          <w:szCs w:val="28"/>
          <w:lang w:eastAsia="zh-CN"/>
        </w:rPr>
        <w:t>万元</w:t>
      </w:r>
      <w:r>
        <w:rPr>
          <w:rFonts w:hint="eastAsia" w:ascii="仿宋_GB2312" w:eastAsia="仿宋_GB2312"/>
          <w:sz w:val="28"/>
          <w:szCs w:val="28"/>
        </w:rPr>
        <w:t>；（3）对个人和家庭补助支出</w:t>
      </w:r>
      <w:r>
        <w:rPr>
          <w:rFonts w:hint="eastAsia" w:ascii="仿宋_GB2312" w:eastAsia="仿宋_GB2312"/>
          <w:sz w:val="28"/>
          <w:szCs w:val="28"/>
          <w:lang w:val="en-US" w:eastAsia="zh-CN"/>
        </w:rPr>
        <w:t>6.61万元，</w:t>
      </w:r>
      <w:r>
        <w:rPr>
          <w:rFonts w:hint="eastAsia" w:ascii="仿宋_GB2312" w:eastAsia="仿宋_GB2312"/>
          <w:sz w:val="28"/>
          <w:szCs w:val="28"/>
        </w:rPr>
        <w:t>包括</w:t>
      </w:r>
      <w:r>
        <w:rPr>
          <w:rFonts w:ascii="仿宋_GB2312" w:eastAsia="仿宋_GB2312"/>
          <w:sz w:val="28"/>
          <w:szCs w:val="28"/>
        </w:rPr>
        <w:t>退休费</w:t>
      </w:r>
      <w:r>
        <w:rPr>
          <w:rFonts w:hint="eastAsia" w:ascii="仿宋_GB2312" w:eastAsia="仿宋_GB2312"/>
          <w:sz w:val="28"/>
          <w:szCs w:val="28"/>
          <w:lang w:val="en-US" w:eastAsia="zh-CN"/>
        </w:rPr>
        <w:t>6.02万元</w:t>
      </w:r>
      <w:r>
        <w:rPr>
          <w:rFonts w:ascii="仿宋_GB2312" w:eastAsia="仿宋_GB2312"/>
          <w:sz w:val="28"/>
          <w:szCs w:val="28"/>
        </w:rPr>
        <w:t>、奖励金</w:t>
      </w:r>
      <w:r>
        <w:rPr>
          <w:rFonts w:hint="eastAsia" w:ascii="仿宋_GB2312" w:eastAsia="仿宋_GB2312"/>
          <w:sz w:val="28"/>
          <w:szCs w:val="28"/>
          <w:lang w:val="en-US" w:eastAsia="zh-CN"/>
        </w:rPr>
        <w:t>0.59万元</w:t>
      </w:r>
      <w:r>
        <w:rPr>
          <w:rFonts w:hint="eastAsia" w:ascii="仿宋_GB2312" w:eastAsia="仿宋_GB2312"/>
          <w:sz w:val="28"/>
          <w:szCs w:val="28"/>
        </w:rPr>
        <w:t>。</w:t>
      </w:r>
    </w:p>
    <w:p w14:paraId="48F6E438">
      <w:pPr>
        <w:tabs>
          <w:tab w:val="center" w:pos="6979"/>
        </w:tabs>
        <w:spacing w:line="580" w:lineRule="exact"/>
        <w:ind w:firstLine="627" w:firstLineChars="196"/>
        <w:rPr>
          <w:rFonts w:hint="eastAsia" w:ascii="宋体" w:hAnsi="宋体"/>
          <w:b/>
          <w:spacing w:val="40"/>
          <w:sz w:val="32"/>
          <w:szCs w:val="32"/>
        </w:rPr>
      </w:pPr>
      <w:r>
        <w:rPr>
          <w:rFonts w:ascii="仿宋_GB2312" w:eastAsia="仿宋_GB2312"/>
          <w:b/>
          <w:sz w:val="32"/>
          <w:szCs w:val="32"/>
        </w:rPr>
        <w:tab/>
      </w:r>
    </w:p>
    <w:p w14:paraId="598E98D2">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41533442">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3AE34D">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12.83</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16.2</w:t>
      </w:r>
      <w:r>
        <w:rPr>
          <w:rFonts w:hint="eastAsia" w:ascii="仿宋_GB2312" w:eastAsia="仿宋_GB2312"/>
          <w:sz w:val="28"/>
          <w:szCs w:val="28"/>
        </w:rPr>
        <w:t>万元减少</w:t>
      </w:r>
      <w:r>
        <w:rPr>
          <w:rFonts w:hint="eastAsia" w:ascii="仿宋_GB2312" w:eastAsia="仿宋_GB2312"/>
          <w:sz w:val="28"/>
          <w:szCs w:val="28"/>
          <w:lang w:val="en-US" w:eastAsia="zh-CN"/>
        </w:rPr>
        <w:t>3.37</w:t>
      </w:r>
      <w:r>
        <w:rPr>
          <w:rFonts w:hint="eastAsia" w:ascii="仿宋_GB2312" w:eastAsia="仿宋_GB2312"/>
          <w:sz w:val="28"/>
          <w:szCs w:val="28"/>
        </w:rPr>
        <w:t>万元。其中：</w:t>
      </w:r>
    </w:p>
    <w:p w14:paraId="617FE611">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1.因公出国（境）费用。202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w:t>
      </w:r>
      <w:r>
        <w:rPr>
          <w:rFonts w:hint="eastAsia" w:ascii="仿宋_GB2312" w:eastAsia="仿宋_GB2312"/>
          <w:color w:val="auto"/>
          <w:sz w:val="28"/>
          <w:szCs w:val="28"/>
          <w:lang w:eastAsia="zh-CN"/>
        </w:rPr>
        <w:t>与</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w:t>
      </w:r>
      <w:r>
        <w:rPr>
          <w:rFonts w:hint="eastAsia" w:ascii="仿宋_GB2312" w:eastAsia="仿宋_GB2312"/>
          <w:color w:val="auto"/>
          <w:sz w:val="28"/>
          <w:szCs w:val="28"/>
          <w:lang w:eastAsia="zh-CN"/>
        </w:rPr>
        <w:t>相等</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本单位无此项支出</w:t>
      </w:r>
      <w:r>
        <w:rPr>
          <w:rFonts w:hint="eastAsia" w:ascii="仿宋_GB2312" w:eastAsia="仿宋_GB2312"/>
          <w:color w:val="auto"/>
          <w:sz w:val="28"/>
          <w:szCs w:val="28"/>
        </w:rPr>
        <w:t>。</w:t>
      </w:r>
    </w:p>
    <w:p w14:paraId="7419664A">
      <w:pPr>
        <w:spacing w:line="560" w:lineRule="exact"/>
        <w:ind w:firstLine="600"/>
        <w:rPr>
          <w:rFonts w:hint="eastAsia" w:ascii="仿宋_GB2312" w:eastAsia="仿宋_GB2312"/>
          <w:color w:val="auto"/>
          <w:sz w:val="28"/>
          <w:szCs w:val="28"/>
        </w:rPr>
      </w:pPr>
      <w:r>
        <w:rPr>
          <w:rFonts w:hint="eastAsia" w:ascii="仿宋_GB2312" w:eastAsia="仿宋_GB2312"/>
          <w:color w:val="auto"/>
          <w:sz w:val="28"/>
          <w:szCs w:val="28"/>
        </w:rPr>
        <w:t>2.公务接待费。202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w:t>
      </w:r>
      <w:r>
        <w:rPr>
          <w:rFonts w:hint="eastAsia" w:ascii="仿宋_GB2312" w:eastAsia="仿宋_GB2312"/>
          <w:color w:val="auto"/>
          <w:sz w:val="28"/>
          <w:szCs w:val="28"/>
          <w:lang w:eastAsia="zh-CN"/>
        </w:rPr>
        <w:t>与</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w:t>
      </w:r>
      <w:r>
        <w:rPr>
          <w:rFonts w:hint="eastAsia" w:ascii="仿宋_GB2312" w:eastAsia="仿宋_GB2312"/>
          <w:color w:val="auto"/>
          <w:sz w:val="28"/>
          <w:szCs w:val="28"/>
          <w:lang w:eastAsia="zh-CN"/>
        </w:rPr>
        <w:t>相等</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本单位无此项支出</w:t>
      </w:r>
      <w:r>
        <w:rPr>
          <w:rFonts w:hint="eastAsia" w:ascii="仿宋_GB2312" w:eastAsia="仿宋_GB2312"/>
          <w:color w:val="auto"/>
          <w:sz w:val="28"/>
          <w:szCs w:val="28"/>
        </w:rPr>
        <w:t>。</w:t>
      </w:r>
    </w:p>
    <w:p w14:paraId="0E2E64FD">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3.公务用车购置及运行维护费。202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12.83</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w:t>
      </w:r>
      <w:r>
        <w:rPr>
          <w:rFonts w:hint="eastAsia" w:ascii="仿宋_GB2312" w:eastAsia="仿宋_GB2312"/>
          <w:color w:val="auto"/>
          <w:sz w:val="28"/>
          <w:szCs w:val="28"/>
          <w:lang w:val="en-US" w:eastAsia="zh-CN"/>
        </w:rPr>
        <w:t>16.2</w:t>
      </w:r>
      <w:r>
        <w:rPr>
          <w:rFonts w:hint="eastAsia" w:ascii="仿宋_GB2312" w:eastAsia="仿宋_GB2312"/>
          <w:color w:val="auto"/>
          <w:sz w:val="28"/>
          <w:szCs w:val="28"/>
        </w:rPr>
        <w:t>万元减少</w:t>
      </w:r>
      <w:r>
        <w:rPr>
          <w:rFonts w:hint="eastAsia" w:ascii="仿宋_GB2312" w:eastAsia="仿宋_GB2312"/>
          <w:color w:val="auto"/>
          <w:sz w:val="28"/>
          <w:szCs w:val="28"/>
          <w:lang w:val="en-US" w:eastAsia="zh-CN"/>
        </w:rPr>
        <w:t>3.37</w:t>
      </w:r>
      <w:r>
        <w:rPr>
          <w:rFonts w:hint="eastAsia" w:ascii="仿宋_GB2312" w:eastAsia="仿宋_GB2312"/>
          <w:color w:val="auto"/>
          <w:sz w:val="28"/>
          <w:szCs w:val="28"/>
        </w:rPr>
        <w:t>万元。其中，公务用车购置费202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万元，主要原因：</w:t>
      </w:r>
      <w:r>
        <w:rPr>
          <w:rFonts w:hint="eastAsia" w:ascii="仿宋_GB2312" w:eastAsia="仿宋_GB2312"/>
          <w:color w:val="auto"/>
          <w:sz w:val="28"/>
          <w:szCs w:val="28"/>
          <w:lang w:eastAsia="zh-CN"/>
        </w:rPr>
        <w:t>本单位无此项支出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年度购置（更新）</w:t>
      </w:r>
      <w:r>
        <w:rPr>
          <w:rFonts w:hint="eastAsia" w:ascii="仿宋_GB2312" w:eastAsia="仿宋_GB2312"/>
          <w:color w:val="auto"/>
          <w:sz w:val="28"/>
          <w:szCs w:val="28"/>
          <w:lang w:eastAsia="zh-CN"/>
        </w:rPr>
        <w:t>0</w:t>
      </w:r>
      <w:r>
        <w:rPr>
          <w:rFonts w:hint="eastAsia" w:ascii="仿宋_GB2312" w:eastAsia="仿宋_GB2312"/>
          <w:color w:val="auto"/>
          <w:sz w:val="28"/>
          <w:szCs w:val="28"/>
        </w:rPr>
        <w:t>辆。公务用车运行维护费202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12.83</w:t>
      </w:r>
      <w:r>
        <w:rPr>
          <w:rFonts w:hint="eastAsia" w:ascii="仿宋_GB2312" w:eastAsia="仿宋_GB2312"/>
          <w:color w:val="auto"/>
          <w:sz w:val="28"/>
          <w:szCs w:val="28"/>
        </w:rPr>
        <w:t>万元，主要原因：</w:t>
      </w:r>
      <w:r>
        <w:rPr>
          <w:rFonts w:hint="eastAsia" w:ascii="仿宋_GB2312" w:eastAsia="仿宋_GB2312"/>
          <w:color w:val="auto"/>
          <w:sz w:val="28"/>
          <w:szCs w:val="28"/>
          <w:lang w:eastAsia="zh-CN"/>
        </w:rPr>
        <w:t>用于公务用车保险费、维修费、加油费及其他运维费用</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年度公务用车保有量</w:t>
      </w:r>
      <w:r>
        <w:rPr>
          <w:rFonts w:ascii="仿宋_GB2312" w:eastAsia="仿宋_GB2312"/>
          <w:color w:val="auto"/>
          <w:sz w:val="28"/>
          <w:szCs w:val="28"/>
        </w:rPr>
        <w:t>9</w:t>
      </w:r>
      <w:r>
        <w:rPr>
          <w:rFonts w:hint="eastAsia" w:ascii="仿宋_GB2312" w:eastAsia="仿宋_GB2312"/>
          <w:color w:val="auto"/>
          <w:sz w:val="28"/>
          <w:szCs w:val="28"/>
        </w:rPr>
        <w:t>辆。</w:t>
      </w:r>
    </w:p>
    <w:p w14:paraId="3BAE4909">
      <w:pPr>
        <w:tabs>
          <w:tab w:val="center" w:pos="6979"/>
        </w:tabs>
        <w:ind w:firstLine="554" w:firstLineChars="198"/>
        <w:rPr>
          <w:rFonts w:hint="eastAsia" w:ascii="黑体" w:eastAsia="黑体"/>
          <w:color w:val="auto"/>
          <w:sz w:val="28"/>
          <w:szCs w:val="28"/>
        </w:rPr>
      </w:pPr>
      <w:r>
        <w:rPr>
          <w:rFonts w:hint="eastAsia" w:ascii="黑体" w:eastAsia="黑体"/>
          <w:color w:val="auto"/>
          <w:sz w:val="28"/>
          <w:szCs w:val="28"/>
        </w:rPr>
        <w:t>二、机关运行经费支出情况</w:t>
      </w:r>
    </w:p>
    <w:p w14:paraId="7F49B6DF">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161.09</w:t>
      </w:r>
      <w:r>
        <w:rPr>
          <w:rFonts w:hint="eastAsia" w:ascii="仿宋_GB2312" w:eastAsia="仿宋_GB2312"/>
          <w:sz w:val="28"/>
          <w:szCs w:val="28"/>
        </w:rPr>
        <w:t>万元，比上年减少</w:t>
      </w:r>
      <w:r>
        <w:rPr>
          <w:rFonts w:hint="eastAsia" w:ascii="仿宋_GB2312" w:eastAsia="仿宋_GB2312"/>
          <w:sz w:val="28"/>
          <w:szCs w:val="28"/>
          <w:lang w:val="en-US" w:eastAsia="zh-CN"/>
        </w:rPr>
        <w:t>13.56</w:t>
      </w:r>
      <w:r>
        <w:rPr>
          <w:rFonts w:hint="eastAsia" w:ascii="仿宋_GB2312" w:eastAsia="仿宋_GB2312"/>
          <w:sz w:val="28"/>
          <w:szCs w:val="28"/>
        </w:rPr>
        <w:t>万元，减少原因：</w:t>
      </w:r>
      <w:r>
        <w:rPr>
          <w:rFonts w:hint="eastAsia" w:ascii="仿宋_GB2312" w:eastAsia="仿宋_GB2312"/>
          <w:color w:val="000000" w:themeColor="text1"/>
          <w:sz w:val="28"/>
          <w:szCs w:val="28"/>
          <w:lang w:eastAsia="zh-CN"/>
          <w14:textFill>
            <w14:solidFill>
              <w14:schemeClr w14:val="tx1"/>
            </w14:solidFill>
          </w14:textFill>
        </w:rPr>
        <w:t>压减日常开支</w:t>
      </w:r>
      <w:r>
        <w:rPr>
          <w:rFonts w:hint="eastAsia" w:ascii="仿宋_GB2312" w:eastAsia="仿宋_GB2312"/>
          <w:color w:val="000000" w:themeColor="text1"/>
          <w:sz w:val="28"/>
          <w:szCs w:val="28"/>
          <w14:textFill>
            <w14:solidFill>
              <w14:schemeClr w14:val="tx1"/>
            </w14:solidFill>
          </w14:textFill>
        </w:rPr>
        <w:t>。</w:t>
      </w:r>
    </w:p>
    <w:p w14:paraId="7AB3A5FD">
      <w:pPr>
        <w:ind w:left="540"/>
        <w:rPr>
          <w:rFonts w:hint="eastAsia" w:ascii="黑体" w:eastAsia="黑体"/>
          <w:sz w:val="28"/>
          <w:szCs w:val="28"/>
        </w:rPr>
      </w:pPr>
      <w:r>
        <w:rPr>
          <w:rFonts w:hint="eastAsia" w:ascii="黑体" w:eastAsia="黑体"/>
          <w:sz w:val="28"/>
          <w:szCs w:val="28"/>
        </w:rPr>
        <w:t>三、政府采购支出情况</w:t>
      </w:r>
    </w:p>
    <w:p w14:paraId="13297B4E">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30.06</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2.73</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27.33</w:t>
      </w:r>
      <w:r>
        <w:rPr>
          <w:rFonts w:hint="eastAsia" w:ascii="仿宋_GB2312" w:eastAsia="仿宋_GB2312"/>
          <w:sz w:val="28"/>
          <w:szCs w:val="28"/>
        </w:rPr>
        <w:t>万元。授予中小企业合同金额</w:t>
      </w:r>
      <w:r>
        <w:rPr>
          <w:rFonts w:ascii="仿宋_GB2312" w:eastAsia="仿宋_GB2312"/>
          <w:sz w:val="28"/>
          <w:szCs w:val="28"/>
        </w:rPr>
        <w:t>23.58</w:t>
      </w:r>
      <w:r>
        <w:rPr>
          <w:rFonts w:hint="eastAsia" w:ascii="仿宋_GB2312" w:eastAsia="仿宋_GB2312"/>
          <w:sz w:val="28"/>
          <w:szCs w:val="28"/>
        </w:rPr>
        <w:t>万元，占政府采购支出总额的</w:t>
      </w:r>
      <w:r>
        <w:rPr>
          <w:rFonts w:hint="eastAsia" w:ascii="仿宋_GB2312" w:eastAsia="仿宋_GB2312"/>
          <w:sz w:val="28"/>
          <w:szCs w:val="28"/>
          <w:lang w:eastAsia="zh-CN"/>
        </w:rPr>
        <w:t>78.42</w:t>
      </w:r>
      <w:r>
        <w:rPr>
          <w:rFonts w:hint="eastAsia" w:ascii="仿宋_GB2312" w:eastAsia="仿宋_GB2312"/>
          <w:sz w:val="28"/>
          <w:szCs w:val="28"/>
        </w:rPr>
        <w:t>%，其中：授予小微企业合同金额</w:t>
      </w:r>
      <w:r>
        <w:rPr>
          <w:rFonts w:ascii="仿宋_GB2312" w:eastAsia="仿宋_GB2312"/>
          <w:sz w:val="28"/>
          <w:szCs w:val="28"/>
        </w:rPr>
        <w:t>20.85</w:t>
      </w:r>
      <w:r>
        <w:rPr>
          <w:rFonts w:hint="eastAsia" w:ascii="仿宋_GB2312" w:eastAsia="仿宋_GB2312"/>
          <w:sz w:val="28"/>
          <w:szCs w:val="28"/>
        </w:rPr>
        <w:t>万元，占政府采购支出总额的</w:t>
      </w:r>
      <w:r>
        <w:rPr>
          <w:rFonts w:ascii="仿宋_GB2312" w:eastAsia="仿宋_GB2312"/>
          <w:sz w:val="28"/>
          <w:szCs w:val="28"/>
        </w:rPr>
        <w:t>69.34</w:t>
      </w:r>
      <w:r>
        <w:rPr>
          <w:rFonts w:hint="eastAsia" w:ascii="仿宋_GB2312" w:eastAsia="仿宋_GB2312"/>
          <w:sz w:val="28"/>
          <w:szCs w:val="28"/>
        </w:rPr>
        <w:t>%。</w:t>
      </w:r>
    </w:p>
    <w:p w14:paraId="77F54AD8">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607B7010">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12月31日，北京市大兴区农业综合执法大队</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9</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42ADFB8C">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75CE6154">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5D96924C">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15B9805A">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4A512190">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25381CE9">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209E16D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4E475493">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363A1ABA">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63BE8B94">
      <w:pPr>
        <w:spacing w:line="56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7.社会保障和就业支出（类）行政事业单位养老支出（款）：反映用于行政事业单位养老方面的支出。</w:t>
      </w:r>
    </w:p>
    <w:p w14:paraId="48002DD6">
      <w:pPr>
        <w:spacing w:line="56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8.卫生健康支出（类）行政事业单位医疗（款）：反映行政事业单位医疗方面的支出。</w:t>
      </w:r>
    </w:p>
    <w:p w14:paraId="52D90971">
      <w:pPr>
        <w:spacing w:line="56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9.农林水支出（类）农业农村（款）：反映种植业、畜牧业、渔业、种业、兽医、农机、农垦、农场、农村产业、农村社会事业等方面的支出。</w:t>
      </w:r>
    </w:p>
    <w:p w14:paraId="032FA001">
      <w:pPr>
        <w:spacing w:line="56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10.住房保障支出（类）住房改革支出（款）：反映行政事业单位用财政拨款资金和其他资金等安排的住房改革支出。</w:t>
      </w:r>
    </w:p>
    <w:p w14:paraId="15C53080">
      <w:pPr>
        <w:jc w:val="both"/>
        <w:rPr>
          <w:rFonts w:hint="eastAsia" w:ascii="黑体" w:eastAsia="黑体"/>
          <w:sz w:val="32"/>
          <w:szCs w:val="32"/>
        </w:rPr>
      </w:pPr>
    </w:p>
    <w:p w14:paraId="5B274ED2">
      <w:pPr>
        <w:tabs>
          <w:tab w:val="center" w:pos="6979"/>
        </w:tabs>
        <w:spacing w:line="380" w:lineRule="exact"/>
        <w:jc w:val="center"/>
        <w:rPr>
          <w:rFonts w:ascii="宋体" w:hAnsi="宋体" w:cs="宋体"/>
          <w:b/>
          <w:bCs/>
          <w:kern w:val="0"/>
          <w:sz w:val="28"/>
          <w:szCs w:val="28"/>
        </w:rPr>
      </w:pPr>
    </w:p>
    <w:p w14:paraId="667F3292">
      <w:pPr>
        <w:tabs>
          <w:tab w:val="center" w:pos="6979"/>
        </w:tabs>
        <w:spacing w:line="380" w:lineRule="exact"/>
        <w:jc w:val="center"/>
        <w:rPr>
          <w:rFonts w:ascii="宋体" w:hAnsi="宋体" w:cs="宋体"/>
          <w:b/>
          <w:bCs/>
          <w:kern w:val="0"/>
          <w:sz w:val="28"/>
          <w:szCs w:val="28"/>
        </w:rPr>
      </w:pPr>
    </w:p>
    <w:p w14:paraId="3F82D337">
      <w:pPr>
        <w:jc w:val="both"/>
        <w:rPr>
          <w:rFonts w:hint="eastAsia" w:ascii="黑体" w:eastAsia="黑体"/>
          <w:sz w:val="32"/>
          <w:szCs w:val="32"/>
        </w:rPr>
      </w:pPr>
    </w:p>
    <w:p w14:paraId="658CF85F">
      <w:pPr>
        <w:ind w:firstLine="640" w:firstLineChars="200"/>
        <w:jc w:val="center"/>
        <w:rPr>
          <w:rFonts w:hint="eastAsia" w:ascii="黑体" w:eastAsia="黑体"/>
          <w:sz w:val="32"/>
          <w:szCs w:val="32"/>
        </w:rPr>
      </w:pPr>
    </w:p>
    <w:p w14:paraId="7AFE0F69">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54A6EA12">
      <w:pPr>
        <w:ind w:firstLine="560" w:firstLineChars="200"/>
        <w:rPr>
          <w:rFonts w:hint="eastAsia" w:ascii="黑体" w:eastAsia="黑体"/>
          <w:sz w:val="28"/>
          <w:szCs w:val="28"/>
          <w:highlight w:val="yellow"/>
        </w:rPr>
      </w:pPr>
    </w:p>
    <w:p w14:paraId="1E0D0B71">
      <w:pPr>
        <w:numPr>
          <w:ilvl w:val="0"/>
          <w:numId w:val="0"/>
        </w:numPr>
        <w:ind w:firstLine="840" w:firstLineChars="300"/>
        <w:rPr>
          <w:rFonts w:ascii="黑体" w:eastAsia="黑体"/>
          <w:sz w:val="28"/>
          <w:szCs w:val="28"/>
          <w:highlight w:val="none"/>
        </w:rPr>
      </w:pPr>
      <w:r>
        <w:rPr>
          <w:rFonts w:hint="eastAsia" w:ascii="黑体" w:eastAsia="黑体"/>
          <w:sz w:val="28"/>
          <w:szCs w:val="28"/>
          <w:highlight w:val="none"/>
          <w:lang w:eastAsia="zh-CN"/>
        </w:rPr>
        <w:t>一、</w:t>
      </w:r>
      <w:r>
        <w:rPr>
          <w:rFonts w:hint="eastAsia" w:ascii="黑体" w:eastAsia="黑体"/>
          <w:sz w:val="28"/>
          <w:szCs w:val="28"/>
          <w:highlight w:val="none"/>
        </w:rPr>
        <w:t>项目</w:t>
      </w:r>
      <w:r>
        <w:rPr>
          <w:rFonts w:ascii="黑体" w:eastAsia="黑体"/>
          <w:sz w:val="28"/>
          <w:szCs w:val="28"/>
          <w:highlight w:val="none"/>
        </w:rPr>
        <w:t>支出绩效自评表</w:t>
      </w:r>
    </w:p>
    <w:p w14:paraId="7B730C2D">
      <w:pPr>
        <w:spacing w:line="480" w:lineRule="exact"/>
        <w:rPr>
          <w:rFonts w:hint="eastAsia" w:ascii="仿宋_GB2312" w:hAnsi="仿宋_GB2312" w:eastAsia="仿宋_GB2312" w:cs="仿宋_GB2312"/>
          <w:sz w:val="32"/>
          <w:szCs w:val="32"/>
        </w:rPr>
      </w:pPr>
    </w:p>
    <w:p w14:paraId="6C007291">
      <w:pPr>
        <w:spacing w:line="480" w:lineRule="exact"/>
      </w:pPr>
    </w:p>
    <w:p w14:paraId="4B9D6E77">
      <w:pPr>
        <w:spacing w:line="480" w:lineRule="exact"/>
      </w:pPr>
    </w:p>
    <w:p w14:paraId="7D2E92F1">
      <w:pPr>
        <w:spacing w:line="480" w:lineRule="exact"/>
      </w:pPr>
    </w:p>
    <w:p w14:paraId="6EFF7A66">
      <w:pPr>
        <w:spacing w:line="480" w:lineRule="exact"/>
      </w:pPr>
    </w:p>
    <w:p w14:paraId="1B490791">
      <w:pPr>
        <w:spacing w:line="480" w:lineRule="exact"/>
      </w:pPr>
    </w:p>
    <w:p w14:paraId="001456ED">
      <w:pPr>
        <w:spacing w:line="480" w:lineRule="exact"/>
      </w:pPr>
    </w:p>
    <w:p w14:paraId="53C7A9F7">
      <w:pPr>
        <w:spacing w:line="480" w:lineRule="exact"/>
      </w:pPr>
    </w:p>
    <w:p w14:paraId="1FA5BA24">
      <w:pPr>
        <w:spacing w:line="480" w:lineRule="exact"/>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pPr>
    </w:p>
    <w:p w14:paraId="3C269DF1">
      <w:pPr>
        <w:spacing w:line="480" w:lineRule="exact"/>
      </w:pPr>
      <w:r>
        <w:drawing>
          <wp:anchor distT="0" distB="0" distL="114300" distR="114300" simplePos="0" relativeHeight="251659264" behindDoc="0" locked="0" layoutInCell="1" allowOverlap="1">
            <wp:simplePos x="0" y="0"/>
            <wp:positionH relativeFrom="column">
              <wp:posOffset>0</wp:posOffset>
            </wp:positionH>
            <wp:positionV relativeFrom="paragraph">
              <wp:posOffset>-99060</wp:posOffset>
            </wp:positionV>
            <wp:extent cx="5772150" cy="8171180"/>
            <wp:effectExtent l="0" t="0" r="0" b="127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a:stretch>
                      <a:fillRect/>
                    </a:stretch>
                  </pic:blipFill>
                  <pic:spPr>
                    <a:xfrm>
                      <a:off x="0" y="0"/>
                      <a:ext cx="5772150" cy="8171180"/>
                    </a:xfrm>
                    <a:prstGeom prst="rect">
                      <a:avLst/>
                    </a:prstGeom>
                    <a:noFill/>
                    <a:ln>
                      <a:noFill/>
                    </a:ln>
                  </pic:spPr>
                </pic:pic>
              </a:graphicData>
            </a:graphic>
          </wp:anchor>
        </w:drawing>
      </w:r>
    </w:p>
    <w:p w14:paraId="3F09DEF7">
      <w:pPr>
        <w:spacing w:line="480" w:lineRule="exact"/>
      </w:pPr>
    </w:p>
    <w:p w14:paraId="19E7E32C">
      <w:pPr>
        <w:spacing w:line="480" w:lineRule="exact"/>
      </w:pPr>
    </w:p>
    <w:p w14:paraId="7260D5EF">
      <w:pPr>
        <w:spacing w:line="480" w:lineRule="exact"/>
      </w:pPr>
    </w:p>
    <w:p w14:paraId="23A3BA07">
      <w:pPr>
        <w:spacing w:line="480" w:lineRule="exact"/>
      </w:pPr>
    </w:p>
    <w:p w14:paraId="53161361">
      <w:pPr>
        <w:spacing w:line="480" w:lineRule="exact"/>
      </w:pPr>
    </w:p>
    <w:p w14:paraId="390AF85D">
      <w:pPr>
        <w:spacing w:line="480" w:lineRule="exact"/>
      </w:pPr>
    </w:p>
    <w:p w14:paraId="1E13594D">
      <w:pPr>
        <w:spacing w:line="480" w:lineRule="exact"/>
      </w:pPr>
    </w:p>
    <w:p w14:paraId="0CB74A69">
      <w:pPr>
        <w:spacing w:line="480" w:lineRule="exact"/>
      </w:pPr>
    </w:p>
    <w:p w14:paraId="7FE7A38E">
      <w:pPr>
        <w:spacing w:line="480" w:lineRule="exact"/>
      </w:pPr>
    </w:p>
    <w:p w14:paraId="577AABFF">
      <w:pPr>
        <w:spacing w:line="480" w:lineRule="exact"/>
      </w:pPr>
    </w:p>
    <w:p w14:paraId="6EFA4263">
      <w:pPr>
        <w:spacing w:line="480" w:lineRule="exact"/>
      </w:pPr>
    </w:p>
    <w:p w14:paraId="79562B72">
      <w:pPr>
        <w:spacing w:line="480" w:lineRule="exact"/>
      </w:pPr>
    </w:p>
    <w:p w14:paraId="28318168">
      <w:pPr>
        <w:spacing w:line="480" w:lineRule="exact"/>
      </w:pPr>
    </w:p>
    <w:p w14:paraId="058F7A20">
      <w:pPr>
        <w:spacing w:line="480" w:lineRule="exact"/>
      </w:pPr>
    </w:p>
    <w:p w14:paraId="3387A04F">
      <w:pPr>
        <w:spacing w:line="480" w:lineRule="exact"/>
      </w:pPr>
    </w:p>
    <w:p w14:paraId="43533837">
      <w:pPr>
        <w:spacing w:line="480" w:lineRule="exact"/>
      </w:pPr>
    </w:p>
    <w:p w14:paraId="0A227D5B">
      <w:pPr>
        <w:spacing w:line="480" w:lineRule="exact"/>
      </w:pPr>
    </w:p>
    <w:p w14:paraId="24C9F5AA">
      <w:pPr>
        <w:spacing w:line="480" w:lineRule="exact"/>
      </w:pPr>
    </w:p>
    <w:p w14:paraId="377926F0">
      <w:pPr>
        <w:spacing w:line="480" w:lineRule="exact"/>
      </w:pPr>
    </w:p>
    <w:p w14:paraId="2920D215">
      <w:pPr>
        <w:spacing w:line="480" w:lineRule="exact"/>
      </w:pPr>
    </w:p>
    <w:p w14:paraId="38CAD6BF">
      <w:pPr>
        <w:spacing w:line="480" w:lineRule="exact"/>
      </w:pPr>
    </w:p>
    <w:p w14:paraId="617EC386">
      <w:pPr>
        <w:spacing w:line="480" w:lineRule="exact"/>
      </w:pPr>
    </w:p>
    <w:p w14:paraId="0BD12584">
      <w:pPr>
        <w:spacing w:line="480" w:lineRule="exact"/>
      </w:pPr>
    </w:p>
    <w:p w14:paraId="0AB0FA3C">
      <w:pPr>
        <w:spacing w:line="480" w:lineRule="exact"/>
      </w:pPr>
    </w:p>
    <w:p w14:paraId="624B3F38">
      <w:pPr>
        <w:spacing w:line="480" w:lineRule="exact"/>
      </w:pPr>
    </w:p>
    <w:p w14:paraId="0352434C">
      <w:pPr>
        <w:spacing w:line="480" w:lineRule="exact"/>
      </w:pPr>
    </w:p>
    <w:p w14:paraId="5896CA4D">
      <w:pPr>
        <w:spacing w:line="480" w:lineRule="exact"/>
      </w:pPr>
    </w:p>
    <w:p w14:paraId="2B690784">
      <w:pPr>
        <w:spacing w:line="480" w:lineRule="exact"/>
      </w:pPr>
    </w:p>
    <w:p w14:paraId="4D2B1FE0">
      <w:pPr>
        <w:spacing w:line="480" w:lineRule="exact"/>
      </w:pPr>
    </w:p>
    <w:p w14:paraId="5144F241">
      <w:pPr>
        <w:spacing w:line="480" w:lineRule="exact"/>
      </w:pPr>
    </w:p>
    <w:p w14:paraId="49CBA8F4">
      <w:pPr>
        <w:spacing w:line="480" w:lineRule="exact"/>
      </w:pPr>
      <w:r>
        <w:drawing>
          <wp:anchor distT="0" distB="0" distL="114300" distR="114300" simplePos="0" relativeHeight="251660288" behindDoc="0" locked="0" layoutInCell="1" allowOverlap="1">
            <wp:simplePos x="0" y="0"/>
            <wp:positionH relativeFrom="column">
              <wp:posOffset>-95250</wp:posOffset>
            </wp:positionH>
            <wp:positionV relativeFrom="paragraph">
              <wp:posOffset>129540</wp:posOffset>
            </wp:positionV>
            <wp:extent cx="6118225" cy="7625080"/>
            <wp:effectExtent l="0" t="0" r="15875" b="13970"/>
            <wp:wrapNone/>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0"/>
                    <a:stretch>
                      <a:fillRect/>
                    </a:stretch>
                  </pic:blipFill>
                  <pic:spPr>
                    <a:xfrm>
                      <a:off x="0" y="0"/>
                      <a:ext cx="6118225" cy="7625080"/>
                    </a:xfrm>
                    <a:prstGeom prst="rect">
                      <a:avLst/>
                    </a:prstGeom>
                    <a:noFill/>
                    <a:ln>
                      <a:noFill/>
                    </a:ln>
                  </pic:spPr>
                </pic:pic>
              </a:graphicData>
            </a:graphic>
          </wp:anchor>
        </w:drawing>
      </w:r>
    </w:p>
    <w:p w14:paraId="4C734EEB">
      <w:pPr>
        <w:spacing w:line="480" w:lineRule="exact"/>
      </w:pPr>
    </w:p>
    <w:p w14:paraId="48228EC5">
      <w:pPr>
        <w:spacing w:line="480" w:lineRule="exact"/>
      </w:pPr>
    </w:p>
    <w:p w14:paraId="0FCC8EAC">
      <w:pPr>
        <w:spacing w:line="480" w:lineRule="exact"/>
      </w:pPr>
    </w:p>
    <w:p w14:paraId="5DCBE3D0">
      <w:pPr>
        <w:spacing w:line="480" w:lineRule="exact"/>
      </w:pPr>
    </w:p>
    <w:p w14:paraId="6C80629C">
      <w:pPr>
        <w:spacing w:line="480" w:lineRule="exact"/>
      </w:pPr>
    </w:p>
    <w:p w14:paraId="097872C7">
      <w:pPr>
        <w:spacing w:line="480" w:lineRule="exact"/>
      </w:pPr>
    </w:p>
    <w:p w14:paraId="1D1D4EE9">
      <w:pPr>
        <w:spacing w:line="480" w:lineRule="exact"/>
      </w:pPr>
    </w:p>
    <w:p w14:paraId="365CB4E9">
      <w:pPr>
        <w:spacing w:line="480" w:lineRule="exact"/>
      </w:pPr>
    </w:p>
    <w:p w14:paraId="36D14C4D">
      <w:pPr>
        <w:spacing w:line="480" w:lineRule="exact"/>
      </w:pPr>
    </w:p>
    <w:p w14:paraId="4FB68C4A">
      <w:pPr>
        <w:spacing w:line="480" w:lineRule="exact"/>
      </w:pPr>
    </w:p>
    <w:p w14:paraId="0F5B2B35">
      <w:pPr>
        <w:spacing w:line="480" w:lineRule="exact"/>
      </w:pPr>
    </w:p>
    <w:p w14:paraId="48F24040">
      <w:pPr>
        <w:spacing w:line="480" w:lineRule="exact"/>
      </w:pPr>
    </w:p>
    <w:p w14:paraId="2F0178AC">
      <w:pPr>
        <w:spacing w:line="480" w:lineRule="exact"/>
      </w:pPr>
    </w:p>
    <w:p w14:paraId="51840ABF">
      <w:pPr>
        <w:spacing w:line="480" w:lineRule="exact"/>
      </w:pPr>
    </w:p>
    <w:p w14:paraId="590F5BA9">
      <w:pPr>
        <w:spacing w:line="480" w:lineRule="exact"/>
      </w:pPr>
    </w:p>
    <w:p w14:paraId="50CFD83E">
      <w:pPr>
        <w:spacing w:line="480" w:lineRule="exact"/>
      </w:pPr>
    </w:p>
    <w:p w14:paraId="4A6EC3C7">
      <w:pPr>
        <w:spacing w:line="480" w:lineRule="exact"/>
      </w:pPr>
    </w:p>
    <w:p w14:paraId="288A9CCD">
      <w:pPr>
        <w:spacing w:line="480" w:lineRule="exact"/>
      </w:pPr>
    </w:p>
    <w:p w14:paraId="7CF0CBB8">
      <w:pPr>
        <w:spacing w:line="480" w:lineRule="exact"/>
      </w:pPr>
    </w:p>
    <w:p w14:paraId="3D209095">
      <w:pPr>
        <w:spacing w:line="480" w:lineRule="exact"/>
      </w:pPr>
    </w:p>
    <w:p w14:paraId="029EE94E">
      <w:pPr>
        <w:spacing w:line="480" w:lineRule="exact"/>
      </w:pPr>
    </w:p>
    <w:p w14:paraId="3F2C925A">
      <w:pPr>
        <w:spacing w:line="480" w:lineRule="exact"/>
      </w:pPr>
    </w:p>
    <w:p w14:paraId="21E3938B">
      <w:pPr>
        <w:spacing w:line="480" w:lineRule="exact"/>
      </w:pPr>
    </w:p>
    <w:p w14:paraId="54740419">
      <w:pPr>
        <w:spacing w:line="480" w:lineRule="exact"/>
      </w:pPr>
    </w:p>
    <w:p w14:paraId="559F5847">
      <w:pPr>
        <w:spacing w:line="480" w:lineRule="exact"/>
      </w:pPr>
    </w:p>
    <w:p w14:paraId="65D9D723">
      <w:pPr>
        <w:spacing w:line="480" w:lineRule="exact"/>
      </w:pPr>
    </w:p>
    <w:p w14:paraId="75A86D70">
      <w:pPr>
        <w:spacing w:line="480" w:lineRule="exact"/>
      </w:pPr>
    </w:p>
    <w:p w14:paraId="39E96A30">
      <w:pPr>
        <w:spacing w:line="480" w:lineRule="exact"/>
      </w:pPr>
    </w:p>
    <w:p w14:paraId="2BE533B4">
      <w:pPr>
        <w:spacing w:line="480" w:lineRule="exact"/>
      </w:pPr>
      <w:r>
        <w:drawing>
          <wp:anchor distT="0" distB="0" distL="114300" distR="114300" simplePos="0" relativeHeight="251661312" behindDoc="0" locked="0" layoutInCell="1" allowOverlap="1">
            <wp:simplePos x="0" y="0"/>
            <wp:positionH relativeFrom="column">
              <wp:posOffset>28575</wp:posOffset>
            </wp:positionH>
            <wp:positionV relativeFrom="paragraph">
              <wp:posOffset>196215</wp:posOffset>
            </wp:positionV>
            <wp:extent cx="6118860" cy="8743950"/>
            <wp:effectExtent l="0" t="0" r="15240" b="0"/>
            <wp:wrapNone/>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11"/>
                    <a:stretch>
                      <a:fillRect/>
                    </a:stretch>
                  </pic:blipFill>
                  <pic:spPr>
                    <a:xfrm>
                      <a:off x="0" y="0"/>
                      <a:ext cx="6118860" cy="8743950"/>
                    </a:xfrm>
                    <a:prstGeom prst="rect">
                      <a:avLst/>
                    </a:prstGeom>
                    <a:noFill/>
                    <a:ln>
                      <a:noFill/>
                    </a:ln>
                  </pic:spPr>
                </pic:pic>
              </a:graphicData>
            </a:graphic>
          </wp:anchor>
        </w:drawing>
      </w:r>
    </w:p>
    <w:p w14:paraId="491439BF">
      <w:pPr>
        <w:bidi w:val="0"/>
        <w:rPr>
          <w:rFonts w:ascii="Times New Roman" w:hAnsi="Times New Roman" w:eastAsia="宋体" w:cs="Times New Roman"/>
          <w:kern w:val="2"/>
          <w:sz w:val="21"/>
          <w:szCs w:val="24"/>
          <w:lang w:val="en-US" w:eastAsia="zh-CN" w:bidi="ar-SA"/>
        </w:rPr>
      </w:pPr>
    </w:p>
    <w:p w14:paraId="30FD9E09">
      <w:pPr>
        <w:bidi w:val="0"/>
        <w:rPr>
          <w:lang w:val="en-US" w:eastAsia="zh-CN"/>
        </w:rPr>
      </w:pPr>
    </w:p>
    <w:p w14:paraId="5BB33CA1">
      <w:pPr>
        <w:bidi w:val="0"/>
        <w:rPr>
          <w:lang w:val="en-US" w:eastAsia="zh-CN"/>
        </w:rPr>
      </w:pPr>
    </w:p>
    <w:p w14:paraId="3053395A">
      <w:pPr>
        <w:bidi w:val="0"/>
        <w:rPr>
          <w:lang w:val="en-US" w:eastAsia="zh-CN"/>
        </w:rPr>
      </w:pPr>
    </w:p>
    <w:p w14:paraId="5B862C0E">
      <w:pPr>
        <w:bidi w:val="0"/>
        <w:rPr>
          <w:lang w:val="en-US" w:eastAsia="zh-CN"/>
        </w:rPr>
      </w:pPr>
    </w:p>
    <w:p w14:paraId="21276B17">
      <w:pPr>
        <w:bidi w:val="0"/>
        <w:rPr>
          <w:lang w:val="en-US" w:eastAsia="zh-CN"/>
        </w:rPr>
      </w:pPr>
    </w:p>
    <w:p w14:paraId="5B14E061">
      <w:pPr>
        <w:bidi w:val="0"/>
        <w:rPr>
          <w:lang w:val="en-US" w:eastAsia="zh-CN"/>
        </w:rPr>
      </w:pPr>
    </w:p>
    <w:p w14:paraId="6A75AEA9">
      <w:pPr>
        <w:bidi w:val="0"/>
        <w:rPr>
          <w:lang w:val="en-US" w:eastAsia="zh-CN"/>
        </w:rPr>
      </w:pPr>
    </w:p>
    <w:p w14:paraId="043DBC39">
      <w:pPr>
        <w:bidi w:val="0"/>
        <w:rPr>
          <w:lang w:val="en-US" w:eastAsia="zh-CN"/>
        </w:rPr>
      </w:pPr>
    </w:p>
    <w:p w14:paraId="1343840F">
      <w:pPr>
        <w:bidi w:val="0"/>
        <w:rPr>
          <w:lang w:val="en-US" w:eastAsia="zh-CN"/>
        </w:rPr>
      </w:pPr>
    </w:p>
    <w:p w14:paraId="56A76249">
      <w:pPr>
        <w:bidi w:val="0"/>
        <w:rPr>
          <w:lang w:val="en-US" w:eastAsia="zh-CN"/>
        </w:rPr>
      </w:pPr>
    </w:p>
    <w:p w14:paraId="131ED1BF">
      <w:pPr>
        <w:bidi w:val="0"/>
        <w:rPr>
          <w:lang w:val="en-US" w:eastAsia="zh-CN"/>
        </w:rPr>
      </w:pPr>
    </w:p>
    <w:p w14:paraId="42C8D48A">
      <w:pPr>
        <w:bidi w:val="0"/>
        <w:rPr>
          <w:lang w:val="en-US" w:eastAsia="zh-CN"/>
        </w:rPr>
      </w:pPr>
    </w:p>
    <w:p w14:paraId="7B9724F0">
      <w:pPr>
        <w:bidi w:val="0"/>
        <w:rPr>
          <w:lang w:val="en-US" w:eastAsia="zh-CN"/>
        </w:rPr>
      </w:pPr>
    </w:p>
    <w:p w14:paraId="2C7E5051">
      <w:pPr>
        <w:bidi w:val="0"/>
        <w:rPr>
          <w:lang w:val="en-US" w:eastAsia="zh-CN"/>
        </w:rPr>
      </w:pPr>
    </w:p>
    <w:p w14:paraId="7BCE5D6D">
      <w:pPr>
        <w:bidi w:val="0"/>
        <w:rPr>
          <w:lang w:val="en-US" w:eastAsia="zh-CN"/>
        </w:rPr>
      </w:pPr>
    </w:p>
    <w:p w14:paraId="36B9AC56">
      <w:pPr>
        <w:bidi w:val="0"/>
        <w:rPr>
          <w:lang w:val="en-US" w:eastAsia="zh-CN"/>
        </w:rPr>
      </w:pPr>
    </w:p>
    <w:p w14:paraId="17BF523D">
      <w:pPr>
        <w:bidi w:val="0"/>
        <w:rPr>
          <w:lang w:val="en-US" w:eastAsia="zh-CN"/>
        </w:rPr>
      </w:pPr>
    </w:p>
    <w:p w14:paraId="361C877D">
      <w:pPr>
        <w:bidi w:val="0"/>
        <w:rPr>
          <w:lang w:val="en-US" w:eastAsia="zh-CN"/>
        </w:rPr>
      </w:pPr>
    </w:p>
    <w:p w14:paraId="4E684E35">
      <w:pPr>
        <w:bidi w:val="0"/>
        <w:rPr>
          <w:lang w:val="en-US" w:eastAsia="zh-CN"/>
        </w:rPr>
      </w:pPr>
    </w:p>
    <w:p w14:paraId="565015AE">
      <w:pPr>
        <w:bidi w:val="0"/>
        <w:rPr>
          <w:lang w:val="en-US" w:eastAsia="zh-CN"/>
        </w:rPr>
      </w:pPr>
    </w:p>
    <w:p w14:paraId="2EBE0B5D">
      <w:pPr>
        <w:bidi w:val="0"/>
        <w:rPr>
          <w:lang w:val="en-US" w:eastAsia="zh-CN"/>
        </w:rPr>
      </w:pPr>
    </w:p>
    <w:p w14:paraId="47B623A1">
      <w:pPr>
        <w:bidi w:val="0"/>
        <w:rPr>
          <w:lang w:val="en-US" w:eastAsia="zh-CN"/>
        </w:rPr>
      </w:pPr>
    </w:p>
    <w:p w14:paraId="225A6462">
      <w:pPr>
        <w:bidi w:val="0"/>
        <w:rPr>
          <w:lang w:val="en-US" w:eastAsia="zh-CN"/>
        </w:rPr>
      </w:pPr>
    </w:p>
    <w:p w14:paraId="7CA6E23B">
      <w:pPr>
        <w:bidi w:val="0"/>
        <w:rPr>
          <w:lang w:val="en-US" w:eastAsia="zh-CN"/>
        </w:rPr>
      </w:pPr>
    </w:p>
    <w:p w14:paraId="36C07776">
      <w:pPr>
        <w:bidi w:val="0"/>
        <w:rPr>
          <w:lang w:val="en-US" w:eastAsia="zh-CN"/>
        </w:rPr>
      </w:pPr>
    </w:p>
    <w:p w14:paraId="10C8D3E1">
      <w:pPr>
        <w:bidi w:val="0"/>
        <w:rPr>
          <w:lang w:val="en-US" w:eastAsia="zh-CN"/>
        </w:rPr>
      </w:pPr>
    </w:p>
    <w:p w14:paraId="08106DF9">
      <w:pPr>
        <w:bidi w:val="0"/>
        <w:rPr>
          <w:lang w:val="en-US" w:eastAsia="zh-CN"/>
        </w:rPr>
      </w:pPr>
    </w:p>
    <w:p w14:paraId="10A60D38">
      <w:pPr>
        <w:bidi w:val="0"/>
        <w:rPr>
          <w:lang w:val="en-US" w:eastAsia="zh-CN"/>
        </w:rPr>
      </w:pPr>
    </w:p>
    <w:p w14:paraId="6E7C6440">
      <w:pPr>
        <w:bidi w:val="0"/>
        <w:rPr>
          <w:lang w:val="en-US" w:eastAsia="zh-CN"/>
        </w:rPr>
      </w:pPr>
    </w:p>
    <w:p w14:paraId="50A2A23A">
      <w:pPr>
        <w:bidi w:val="0"/>
        <w:rPr>
          <w:lang w:val="en-US" w:eastAsia="zh-CN"/>
        </w:rPr>
      </w:pPr>
    </w:p>
    <w:p w14:paraId="3ED29C0E">
      <w:pPr>
        <w:bidi w:val="0"/>
        <w:rPr>
          <w:lang w:val="en-US" w:eastAsia="zh-CN"/>
        </w:rPr>
      </w:pPr>
    </w:p>
    <w:p w14:paraId="25CADD83">
      <w:pPr>
        <w:bidi w:val="0"/>
        <w:rPr>
          <w:lang w:val="en-US" w:eastAsia="zh-CN"/>
        </w:rPr>
      </w:pPr>
    </w:p>
    <w:p w14:paraId="487750F0">
      <w:pPr>
        <w:bidi w:val="0"/>
        <w:rPr>
          <w:lang w:val="en-US" w:eastAsia="zh-CN"/>
        </w:rPr>
      </w:pPr>
    </w:p>
    <w:p w14:paraId="4215F3D0">
      <w:pPr>
        <w:bidi w:val="0"/>
        <w:rPr>
          <w:lang w:val="en-US" w:eastAsia="zh-CN"/>
        </w:rPr>
      </w:pPr>
    </w:p>
    <w:p w14:paraId="2117F2DA">
      <w:pPr>
        <w:bidi w:val="0"/>
        <w:rPr>
          <w:lang w:val="en-US" w:eastAsia="zh-CN"/>
        </w:rPr>
      </w:pPr>
    </w:p>
    <w:p w14:paraId="7565B5E2">
      <w:pPr>
        <w:bidi w:val="0"/>
        <w:rPr>
          <w:lang w:val="en-US" w:eastAsia="zh-CN"/>
        </w:rPr>
      </w:pPr>
    </w:p>
    <w:p w14:paraId="1EA8BDF9">
      <w:pPr>
        <w:bidi w:val="0"/>
        <w:rPr>
          <w:lang w:val="en-US" w:eastAsia="zh-CN"/>
        </w:rPr>
      </w:pPr>
    </w:p>
    <w:p w14:paraId="66D640FD">
      <w:pPr>
        <w:bidi w:val="0"/>
        <w:rPr>
          <w:lang w:val="en-US" w:eastAsia="zh-CN"/>
        </w:rPr>
      </w:pPr>
    </w:p>
    <w:p w14:paraId="2D6E68B4">
      <w:pPr>
        <w:bidi w:val="0"/>
        <w:rPr>
          <w:lang w:val="en-US" w:eastAsia="zh-CN"/>
        </w:rPr>
      </w:pPr>
    </w:p>
    <w:p w14:paraId="6D446745">
      <w:pPr>
        <w:bidi w:val="0"/>
        <w:rPr>
          <w:lang w:val="en-US" w:eastAsia="zh-CN"/>
        </w:rPr>
      </w:pPr>
    </w:p>
    <w:p w14:paraId="0B5CA9F5">
      <w:pPr>
        <w:bidi w:val="0"/>
        <w:rPr>
          <w:lang w:val="en-US" w:eastAsia="zh-CN"/>
        </w:rPr>
      </w:pPr>
    </w:p>
    <w:p w14:paraId="591426AB">
      <w:pPr>
        <w:bidi w:val="0"/>
        <w:rPr>
          <w:lang w:val="en-US" w:eastAsia="zh-CN"/>
        </w:rPr>
      </w:pPr>
    </w:p>
    <w:p w14:paraId="61C5F8C4">
      <w:pPr>
        <w:bidi w:val="0"/>
        <w:jc w:val="left"/>
        <w:rPr>
          <w:lang w:val="en-US" w:eastAsia="zh-CN"/>
        </w:rPr>
      </w:pPr>
    </w:p>
    <w:p w14:paraId="3EEE956B">
      <w:pPr>
        <w:bidi w:val="0"/>
        <w:jc w:val="left"/>
        <w:rPr>
          <w:lang w:val="en-US" w:eastAsia="zh-CN"/>
        </w:rPr>
      </w:pPr>
    </w:p>
    <w:p w14:paraId="2DFBA68D">
      <w:pPr>
        <w:bidi w:val="0"/>
        <w:jc w:val="left"/>
        <w:rPr>
          <w:lang w:val="en-US" w:eastAsia="zh-CN"/>
        </w:rPr>
      </w:pPr>
      <w:r>
        <w:drawing>
          <wp:inline distT="0" distB="0" distL="114300" distR="114300">
            <wp:extent cx="6114415" cy="7086600"/>
            <wp:effectExtent l="0" t="0" r="635" b="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12"/>
                    <a:stretch>
                      <a:fillRect/>
                    </a:stretch>
                  </pic:blipFill>
                  <pic:spPr>
                    <a:xfrm>
                      <a:off x="0" y="0"/>
                      <a:ext cx="6114415" cy="7086600"/>
                    </a:xfrm>
                    <a:prstGeom prst="rect">
                      <a:avLst/>
                    </a:prstGeom>
                    <a:noFill/>
                    <a:ln>
                      <a:noFill/>
                    </a:ln>
                  </pic:spPr>
                </pic:pic>
              </a:graphicData>
            </a:graphic>
          </wp:inline>
        </w:drawing>
      </w:r>
    </w:p>
    <w:sectPr>
      <w:pgSz w:w="11906" w:h="16838"/>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BACAC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DA4F838">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BB21B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5CC00C74">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D9160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00599CEB">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74EE9"/>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0D1"/>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4A62FC"/>
    <w:rsid w:val="02F120AB"/>
    <w:rsid w:val="032B5196"/>
    <w:rsid w:val="04B47963"/>
    <w:rsid w:val="04C3537C"/>
    <w:rsid w:val="079004AC"/>
    <w:rsid w:val="085E716A"/>
    <w:rsid w:val="0BA148CA"/>
    <w:rsid w:val="0C1165C4"/>
    <w:rsid w:val="0C452D30"/>
    <w:rsid w:val="0D6D544B"/>
    <w:rsid w:val="0DD136FE"/>
    <w:rsid w:val="0E5B7BDC"/>
    <w:rsid w:val="0F5054F7"/>
    <w:rsid w:val="0F542F2C"/>
    <w:rsid w:val="0F8E2C57"/>
    <w:rsid w:val="1059665E"/>
    <w:rsid w:val="10AC13BA"/>
    <w:rsid w:val="145A6C1B"/>
    <w:rsid w:val="14B73493"/>
    <w:rsid w:val="167A2FF9"/>
    <w:rsid w:val="1764587C"/>
    <w:rsid w:val="18581C69"/>
    <w:rsid w:val="19D34822"/>
    <w:rsid w:val="1AEC0734"/>
    <w:rsid w:val="1C524838"/>
    <w:rsid w:val="1CE02C56"/>
    <w:rsid w:val="1DEF20B0"/>
    <w:rsid w:val="1FF7AB17"/>
    <w:rsid w:val="214243FA"/>
    <w:rsid w:val="21AD613C"/>
    <w:rsid w:val="22222E58"/>
    <w:rsid w:val="22467189"/>
    <w:rsid w:val="257A14F5"/>
    <w:rsid w:val="27196C26"/>
    <w:rsid w:val="27A5694F"/>
    <w:rsid w:val="29DB1EC8"/>
    <w:rsid w:val="29EF086F"/>
    <w:rsid w:val="2A472530"/>
    <w:rsid w:val="2BC34C59"/>
    <w:rsid w:val="2CB824F9"/>
    <w:rsid w:val="2EFFE297"/>
    <w:rsid w:val="301437CA"/>
    <w:rsid w:val="30E60F75"/>
    <w:rsid w:val="349D1F0A"/>
    <w:rsid w:val="34DD0473"/>
    <w:rsid w:val="34EB108F"/>
    <w:rsid w:val="35396486"/>
    <w:rsid w:val="391F2846"/>
    <w:rsid w:val="3A8E35DC"/>
    <w:rsid w:val="3C6842C1"/>
    <w:rsid w:val="3C684897"/>
    <w:rsid w:val="3DBA5E71"/>
    <w:rsid w:val="3EE210D0"/>
    <w:rsid w:val="41DF3C61"/>
    <w:rsid w:val="42FB6B9C"/>
    <w:rsid w:val="433E495C"/>
    <w:rsid w:val="437B6846"/>
    <w:rsid w:val="4594599D"/>
    <w:rsid w:val="46BC0CE6"/>
    <w:rsid w:val="489F2FD7"/>
    <w:rsid w:val="48DF59E2"/>
    <w:rsid w:val="4AC27CB3"/>
    <w:rsid w:val="4BF72BEF"/>
    <w:rsid w:val="4FA90297"/>
    <w:rsid w:val="4FC41A43"/>
    <w:rsid w:val="515E50B1"/>
    <w:rsid w:val="51CC08C5"/>
    <w:rsid w:val="51DB3C59"/>
    <w:rsid w:val="54365D1E"/>
    <w:rsid w:val="550C0952"/>
    <w:rsid w:val="55142657"/>
    <w:rsid w:val="55762E42"/>
    <w:rsid w:val="56101070"/>
    <w:rsid w:val="57A7B272"/>
    <w:rsid w:val="580E7831"/>
    <w:rsid w:val="58276B45"/>
    <w:rsid w:val="58470068"/>
    <w:rsid w:val="58747CAC"/>
    <w:rsid w:val="5A1720F9"/>
    <w:rsid w:val="5B9C37C2"/>
    <w:rsid w:val="5BA7C654"/>
    <w:rsid w:val="5C0E7FA7"/>
    <w:rsid w:val="5CAE4944"/>
    <w:rsid w:val="5DB90168"/>
    <w:rsid w:val="5DF716AE"/>
    <w:rsid w:val="5E841E57"/>
    <w:rsid w:val="5F3E7F5C"/>
    <w:rsid w:val="5F8605F5"/>
    <w:rsid w:val="5F9F507E"/>
    <w:rsid w:val="60A54109"/>
    <w:rsid w:val="61D01CDF"/>
    <w:rsid w:val="61D146CF"/>
    <w:rsid w:val="64C0607C"/>
    <w:rsid w:val="65756C86"/>
    <w:rsid w:val="674D385B"/>
    <w:rsid w:val="676F09E1"/>
    <w:rsid w:val="677A3659"/>
    <w:rsid w:val="682E5386"/>
    <w:rsid w:val="6E4C0C5C"/>
    <w:rsid w:val="70332254"/>
    <w:rsid w:val="71691990"/>
    <w:rsid w:val="71793A80"/>
    <w:rsid w:val="7357290B"/>
    <w:rsid w:val="74183C6C"/>
    <w:rsid w:val="756E3DEA"/>
    <w:rsid w:val="75D80FC7"/>
    <w:rsid w:val="76161CF6"/>
    <w:rsid w:val="762A1F3A"/>
    <w:rsid w:val="76FB1693"/>
    <w:rsid w:val="794B5C77"/>
    <w:rsid w:val="798524E4"/>
    <w:rsid w:val="79A260EA"/>
    <w:rsid w:val="7A533816"/>
    <w:rsid w:val="7A7F1C49"/>
    <w:rsid w:val="7B5B7AE6"/>
    <w:rsid w:val="7B7B6628"/>
    <w:rsid w:val="7BA7071E"/>
    <w:rsid w:val="7BDF6DA8"/>
    <w:rsid w:val="7C7EDC1A"/>
    <w:rsid w:val="7CCED98D"/>
    <w:rsid w:val="7D08410F"/>
    <w:rsid w:val="7DB96DED"/>
    <w:rsid w:val="7DD3AD81"/>
    <w:rsid w:val="7DFFF77E"/>
    <w:rsid w:val="7EA61CC2"/>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3208.18</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ade72094-ee40-4ea7-b45e-6ce188ca5080}"/>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2983.11</c:v>
                </c:pt>
                <c:pt idx="1">
                  <c:v>475.71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a110feae-56c2-4d05-9721-ab129d3fb0ad}"/>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268</Words>
  <Characters>286</Characters>
  <Lines>44</Lines>
  <Paragraphs>12</Paragraphs>
  <TotalTime>8</TotalTime>
  <ScaleCrop>false</ScaleCrop>
  <LinksUpToDate>false</LinksUpToDate>
  <CharactersWithSpaces>298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2025-11-04T08:40:00Z</cp:lastPrinted>
  <dcterms:modified xsi:type="dcterms:W3CDTF">2025-12-29T01:56:05Z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