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Default ContentType="image/png" Extension="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eastAsia="zh-CN"/>
        </w:rPr>
        <w:t>单位</w:t>
      </w:r>
      <w:r>
        <w:rPr>
          <w:rFonts w:hint="eastAsia" w:ascii="黑体" w:eastAsia="黑体"/>
          <w:sz w:val="72"/>
          <w:szCs w:val="72"/>
        </w:rPr>
        <w:t>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w:t>
      </w:r>
      <w:r>
        <w:rPr>
          <w:rFonts w:hint="eastAsia" w:ascii="宋体" w:hAnsi="宋体" w:cs="宋体"/>
          <w:b/>
          <w:bCs/>
          <w:spacing w:val="40"/>
          <w:kern w:val="0"/>
          <w:sz w:val="44"/>
          <w:szCs w:val="44"/>
          <w:lang w:eastAsia="zh-CN"/>
        </w:rPr>
        <w:t>单位</w:t>
      </w:r>
      <w:r>
        <w:rPr>
          <w:rFonts w:hint="eastAsia" w:ascii="宋体" w:hAnsi="宋体" w:cs="宋体"/>
          <w:b/>
          <w:bCs/>
          <w:spacing w:val="40"/>
          <w:kern w:val="0"/>
          <w:sz w:val="44"/>
          <w:szCs w:val="44"/>
        </w:rPr>
        <w:t>决算报表</w:t>
      </w:r>
    </w:p>
    <w:p>
      <w:pPr>
        <w:pStyle w:val="2"/>
        <w:rPr>
          <w:b w:val="0"/>
          <w:bCs w:val="0"/>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1、主要职能</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北京市大兴区种业与植保服务站</w:t>
      </w:r>
      <w:r>
        <w:rPr>
          <w:rFonts w:hint="eastAsia" w:ascii="仿宋_GB2312" w:eastAsia="仿宋_GB2312"/>
          <w:sz w:val="28"/>
          <w:szCs w:val="28"/>
        </w:rPr>
        <w:t>是全额拨款事业单位，负责农作物品种区试，解决种源资源储备；负责研发优质种源；负责全区农作物的病、虫、草害预测预报与防治技术推广；负责全区鼠害的系统调查、普查与鼠害防治；负责植保新技术的引进、示范与推广；负责开展种业与植保技术咨询。</w:t>
      </w:r>
    </w:p>
    <w:p>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2、科室设置</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设有六个职能科室：行政办公室，党建办公室，财审科，植保服务科，种业服务科，综合服务科。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1304.63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增加</w:t>
      </w:r>
      <w:r>
        <w:rPr>
          <w:rFonts w:hint="eastAsia" w:ascii="仿宋_GB2312" w:eastAsia="仿宋_GB2312"/>
          <w:sz w:val="28"/>
          <w:szCs w:val="28"/>
          <w:lang w:val="en-US" w:eastAsia="zh-CN"/>
        </w:rPr>
        <w:t>86.86</w:t>
      </w:r>
      <w:r>
        <w:rPr>
          <w:rFonts w:hint="eastAsia" w:ascii="仿宋_GB2312" w:eastAsia="仿宋_GB2312"/>
          <w:sz w:val="28"/>
          <w:szCs w:val="28"/>
        </w:rPr>
        <w:t>万元，增</w:t>
      </w:r>
      <w:r>
        <w:rPr>
          <w:rFonts w:hint="eastAsia" w:ascii="仿宋_GB2312" w:eastAsia="仿宋_GB2312"/>
          <w:sz w:val="28"/>
          <w:szCs w:val="28"/>
          <w:lang w:eastAsia="zh-CN"/>
        </w:rPr>
        <w:t>长</w:t>
      </w:r>
      <w:r>
        <w:rPr>
          <w:rFonts w:hint="eastAsia" w:ascii="仿宋_GB2312" w:eastAsia="仿宋_GB2312"/>
          <w:sz w:val="28"/>
          <w:szCs w:val="28"/>
          <w:lang w:val="en-US" w:eastAsia="zh-CN"/>
        </w:rPr>
        <w:t>7.13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1248.63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增加80.96万元，增</w:t>
      </w:r>
      <w:r>
        <w:rPr>
          <w:rFonts w:hint="eastAsia" w:ascii="仿宋_GB2312" w:eastAsia="仿宋_GB2312"/>
          <w:sz w:val="28"/>
          <w:szCs w:val="28"/>
          <w:lang w:eastAsia="zh-CN"/>
        </w:rPr>
        <w:t>长</w:t>
      </w:r>
      <w:r>
        <w:rPr>
          <w:rFonts w:hint="eastAsia" w:ascii="仿宋_GB2312" w:eastAsia="仿宋_GB2312"/>
          <w:sz w:val="28"/>
          <w:szCs w:val="28"/>
        </w:rPr>
        <w:t>6.93%。</w:t>
      </w:r>
    </w:p>
    <w:p>
      <w:pPr>
        <w:numPr>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1248.63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1248.63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ascii="Times New Roman" w:hAnsi="Times New Roman" w:eastAsia="宋体" w:cs="Times New Roman"/>
          <w:kern w:val="2"/>
          <w:sz w:val="21"/>
          <w:szCs w:val="24"/>
          <w:lang w:val="en-US" w:eastAsia="zh-CN" w:bidi="ar-SA"/>
        </w:rPr>
        <w:pict>
          <v:shape id="图表 3" o:spid="_x0000_s1026" type="#_x0000_t75" style="height:183.35pt;width:317.85pt;rotation:0f;" o:ole="f" fillcolor="#FFFFFF" filled="f" o:preferrelative="t" stroked="f" coordorigin="0,0" coordsize="21600,21600">
            <v:fill on="f" color2="#FFFFFF" focus="0%"/>
            <v:imagedata gain="65536f" blacklevel="0f" gamma="0" o:title="" r:id="rId8"/>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1304.63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增加86.86万元，增</w:t>
      </w:r>
      <w:r>
        <w:rPr>
          <w:rFonts w:hint="eastAsia" w:ascii="仿宋_GB2312" w:eastAsia="仿宋_GB2312"/>
          <w:sz w:val="28"/>
          <w:szCs w:val="28"/>
          <w:lang w:eastAsia="zh-CN"/>
        </w:rPr>
        <w:t>长</w:t>
      </w:r>
      <w:r>
        <w:rPr>
          <w:rFonts w:hint="eastAsia" w:ascii="仿宋_GB2312" w:eastAsia="仿宋_GB2312"/>
          <w:sz w:val="28"/>
          <w:szCs w:val="28"/>
        </w:rPr>
        <w:t>7.13%，其中：基本支</w:t>
      </w:r>
      <w:r>
        <w:rPr>
          <w:rFonts w:hint="eastAsia" w:ascii="仿宋_GB2312" w:eastAsia="仿宋_GB2312"/>
          <w:sz w:val="28"/>
          <w:szCs w:val="28"/>
          <w:highlight w:val="none"/>
        </w:rPr>
        <w:t>出</w:t>
      </w:r>
      <w:r>
        <w:rPr>
          <w:rFonts w:ascii="仿宋_GB2312" w:eastAsia="仿宋_GB2312"/>
          <w:sz w:val="28"/>
          <w:szCs w:val="28"/>
          <w:highlight w:val="none"/>
        </w:rPr>
        <w:t>940.64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72.1</w:t>
      </w:r>
      <w:r>
        <w:rPr>
          <w:rFonts w:hint="eastAsia" w:ascii="仿宋_GB2312" w:eastAsia="仿宋_GB2312"/>
          <w:sz w:val="28"/>
          <w:szCs w:val="28"/>
          <w:highlight w:val="none"/>
        </w:rPr>
        <w:t>%；项目支出</w:t>
      </w:r>
      <w:r>
        <w:rPr>
          <w:rFonts w:ascii="仿宋_GB2312" w:eastAsia="仿宋_GB2312"/>
          <w:sz w:val="28"/>
          <w:szCs w:val="28"/>
          <w:highlight w:val="none"/>
        </w:rPr>
        <w:t>363.99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27.9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ascii="Times New Roman" w:hAnsi="Times New Roman" w:eastAsia="宋体" w:cs="Times New Roman"/>
          <w:kern w:val="2"/>
          <w:sz w:val="21"/>
          <w:szCs w:val="24"/>
          <w:lang w:val="en-US" w:eastAsia="zh-CN" w:bidi="ar-SA"/>
        </w:rPr>
        <w:pict>
          <v:shape id="图表 3" o:spid="_x0000_s1027" type="#_x0000_t75" style="height:216pt;width:360pt;rotation:0f;" o:ole="f" fillcolor="#FFFFFF" filled="f" o:preferrelative="t" stroked="f" coordorigin="0,0" coordsize="21600,21600">
            <v:fill on="f" color2="#FFFFFF" focus="0%"/>
            <v:imagedata gain="65536f" blacklevel="0f" gamma="0" o:title="" r:id="rId9"/>
            <o:lock v:ext="edit" position="f" selection="f" grouping="f" rotation="f" cropping="f" text="f" aspectratio="t"/>
            <w10:wrap type="none"/>
            <w10:anchorlock/>
          </v:shape>
        </w:pi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1304.63</w:t>
      </w:r>
      <w:r>
        <w:rPr>
          <w:rFonts w:hint="eastAsia" w:ascii="仿宋_GB2312" w:eastAsia="仿宋_GB2312"/>
          <w:sz w:val="28"/>
          <w:szCs w:val="28"/>
        </w:rPr>
        <w:t>万元，比上年增加86.86万元，增</w:t>
      </w:r>
      <w:r>
        <w:rPr>
          <w:rFonts w:hint="eastAsia" w:ascii="仿宋_GB2312" w:eastAsia="仿宋_GB2312"/>
          <w:sz w:val="28"/>
          <w:szCs w:val="28"/>
          <w:lang w:eastAsia="zh-CN"/>
        </w:rPr>
        <w:t>长</w:t>
      </w:r>
      <w:r>
        <w:rPr>
          <w:rFonts w:hint="eastAsia" w:ascii="仿宋_GB2312" w:eastAsia="仿宋_GB2312"/>
          <w:sz w:val="28"/>
          <w:szCs w:val="28"/>
        </w:rPr>
        <w:t>7.13%。主要原因：2024年比2023年项目增加</w:t>
      </w:r>
      <w:r>
        <w:rPr>
          <w:rFonts w:hint="eastAsia" w:ascii="仿宋_GB2312" w:eastAsia="仿宋_GB2312"/>
          <w:sz w:val="28"/>
          <w:szCs w:val="28"/>
          <w:lang w:val="en-US" w:eastAsia="zh-CN"/>
        </w:rPr>
        <w:t>,退休人员增加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1304.63</w:t>
      </w:r>
      <w:r>
        <w:rPr>
          <w:rFonts w:hint="eastAsia" w:ascii="仿宋_GB2312" w:eastAsia="仿宋_GB2312"/>
          <w:sz w:val="28"/>
          <w:szCs w:val="28"/>
        </w:rPr>
        <w:t>万元，主要用于以下方面（按大类）：社会保障和就业支出 142.22万元，占本年财政拨款支出10.90%,卫生健康支出70.66万元，占本年财政拨款支出5.42%。农林水支出1035.75万元，占本年财政拨款支出79.39%。住房保障支出56万元，占本年财政拨款支出4.29%。</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1、“社会保障和就业支出”（类）2024年度年初预算141.47万元，2024年度决算142.22万元，完成年初预算的100.53%。</w:t>
      </w:r>
    </w:p>
    <w:p>
      <w:pPr>
        <w:autoSpaceDE w:val="0"/>
        <w:autoSpaceDN w:val="0"/>
        <w:adjustRightInd w:val="0"/>
        <w:spacing w:line="580" w:lineRule="exact"/>
        <w:jc w:val="left"/>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其中：</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lang w:val="en-US" w:eastAsia="zh-CN"/>
        </w:rPr>
        <w:t>“行政事业单位养老支出”（款）</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年度年初预算141.47万元，202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年度决算42.22万元，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100.53</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新增退休职工</w:t>
      </w:r>
      <w:r>
        <w:rPr>
          <w:rFonts w:hint="eastAsia" w:ascii="仿宋_GB2312" w:eastAsia="仿宋_GB2312"/>
          <w:color w:val="auto"/>
          <w:sz w:val="28"/>
          <w:szCs w:val="28"/>
          <w:lang w:val="en-US" w:eastAsia="zh-CN"/>
        </w:rPr>
        <w:t>2名，</w:t>
      </w:r>
      <w:r>
        <w:rPr>
          <w:rFonts w:hint="eastAsia" w:ascii="仿宋_GB2312" w:eastAsia="仿宋_GB2312"/>
          <w:color w:val="auto"/>
          <w:sz w:val="28"/>
          <w:szCs w:val="28"/>
        </w:rPr>
        <w:t>2024年社会保险基数调整。</w:t>
      </w:r>
    </w:p>
    <w:p>
      <w:pPr>
        <w:autoSpaceDE w:val="0"/>
        <w:autoSpaceDN w:val="0"/>
        <w:adjustRightInd w:val="0"/>
        <w:spacing w:line="580" w:lineRule="exact"/>
        <w:ind w:firstLine="560" w:firstLineChars="200"/>
        <w:jc w:val="left"/>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2、“卫生健康支出”（类）2024年度年初预算73.64万元，2024年度决算70.66万元，完成年初预算的95.95%。</w:t>
      </w:r>
    </w:p>
    <w:p>
      <w:pPr>
        <w:autoSpaceDE w:val="0"/>
        <w:autoSpaceDN w:val="0"/>
        <w:adjustRightInd w:val="0"/>
        <w:spacing w:line="580" w:lineRule="exact"/>
        <w:jc w:val="left"/>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其中：</w:t>
      </w:r>
    </w:p>
    <w:p>
      <w:pPr>
        <w:autoSpaceDE w:val="0"/>
        <w:autoSpaceDN w:val="0"/>
        <w:adjustRightInd w:val="0"/>
        <w:spacing w:line="580" w:lineRule="exact"/>
        <w:jc w:val="left"/>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 xml:space="preserve">   “行政事业单位医疗”（款）2024年度年初预算73.64万元，2024年度决算70.66万元，完成年初预算的95.95%。主要原因：2024年社会保险基数调整。</w:t>
      </w:r>
    </w:p>
    <w:p>
      <w:pPr>
        <w:autoSpaceDE w:val="0"/>
        <w:autoSpaceDN w:val="0"/>
        <w:adjustRightInd w:val="0"/>
        <w:spacing w:line="580" w:lineRule="exact"/>
        <w:ind w:left="0" w:leftChars="0" w:firstLine="560" w:firstLineChars="200"/>
        <w:jc w:val="left"/>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3、“农林水支出”（类）2024年度年初预算1579.36万元，2024年度决算1035.75万元，完成年初预算的65.58%。</w:t>
      </w:r>
    </w:p>
    <w:p>
      <w:pPr>
        <w:autoSpaceDE w:val="0"/>
        <w:autoSpaceDN w:val="0"/>
        <w:adjustRightInd w:val="0"/>
        <w:spacing w:line="580" w:lineRule="exact"/>
        <w:jc w:val="left"/>
        <w:rPr>
          <w:rFonts w:hint="eastAsia" w:ascii="仿宋_GB2312" w:eastAsia="仿宋_GB2312"/>
          <w:color w:val="auto"/>
          <w:sz w:val="28"/>
          <w:szCs w:val="28"/>
          <w:lang w:val="en-US" w:eastAsia="zh-CN"/>
        </w:rPr>
      </w:pPr>
      <w:r>
        <w:rPr>
          <w:rFonts w:hint="eastAsia" w:ascii="仿宋_GB2312" w:eastAsia="仿宋_GB2312"/>
          <w:color w:val="auto"/>
          <w:sz w:val="28"/>
          <w:szCs w:val="28"/>
          <w:lang w:val="en-US" w:eastAsia="zh-CN"/>
        </w:rPr>
        <w:t>其中：</w:t>
      </w:r>
    </w:p>
    <w:p>
      <w:pPr>
        <w:autoSpaceDE w:val="0"/>
        <w:autoSpaceDN w:val="0"/>
        <w:adjustRightInd w:val="0"/>
        <w:spacing w:line="580" w:lineRule="exact"/>
        <w:jc w:val="left"/>
        <w:rPr>
          <w:rFonts w:hint="eastAsia" w:ascii="仿宋_GB2312" w:eastAsia="仿宋_GB2312" w:cs="Times New Roman"/>
          <w:b w:val="0"/>
          <w:bCs w:val="0"/>
          <w:color w:val="auto"/>
          <w:kern w:val="2"/>
          <w:sz w:val="28"/>
          <w:szCs w:val="28"/>
          <w:lang w:val="en-US" w:eastAsia="zh-CN" w:bidi="ar-SA"/>
        </w:rPr>
      </w:pPr>
      <w:r>
        <w:rPr>
          <w:rFonts w:hint="eastAsia" w:ascii="仿宋_GB2312" w:eastAsia="仿宋_GB2312"/>
          <w:color w:val="auto"/>
          <w:sz w:val="28"/>
          <w:szCs w:val="28"/>
          <w:lang w:val="en-US" w:eastAsia="zh-CN"/>
        </w:rPr>
        <w:t xml:space="preserve">   “农业农村”（款）2024年度年初预算1579.36万元，2024年度决算1035.75万元，完成年初预算的65.58%。主要原因：退休两名在职职工，2024年项目预算调整。</w:t>
      </w:r>
      <w:r>
        <w:rPr>
          <w:rFonts w:hint="eastAsia" w:ascii="仿宋_GB2312" w:eastAsia="仿宋_GB2312" w:cs="Times New Roman"/>
          <w:b w:val="0"/>
          <w:bCs w:val="0"/>
          <w:color w:val="auto"/>
          <w:kern w:val="2"/>
          <w:sz w:val="28"/>
          <w:szCs w:val="28"/>
          <w:lang w:val="en-US" w:eastAsia="zh-CN" w:bidi="ar-SA"/>
        </w:rPr>
        <w:t xml:space="preserve"> </w:t>
      </w:r>
    </w:p>
    <w:p>
      <w:pPr>
        <w:autoSpaceDE w:val="0"/>
        <w:autoSpaceDN w:val="0"/>
        <w:adjustRightInd w:val="0"/>
        <w:spacing w:line="580" w:lineRule="exact"/>
        <w:ind w:left="0" w:leftChars="0" w:firstLine="560" w:firstLineChars="200"/>
        <w:jc w:val="left"/>
        <w:rPr>
          <w:rFonts w:hint="eastAsia" w:ascii="仿宋_GB2312" w:eastAsia="仿宋_GB2312"/>
          <w:color w:val="auto"/>
          <w:sz w:val="28"/>
          <w:szCs w:val="28"/>
          <w:lang w:val="en-US" w:eastAsia="zh-CN"/>
        </w:rPr>
      </w:pPr>
      <w:r>
        <w:rPr>
          <w:rFonts w:hint="eastAsia" w:ascii="仿宋_GB2312" w:eastAsia="仿宋_GB2312" w:cs="Times New Roman"/>
          <w:b w:val="0"/>
          <w:bCs w:val="0"/>
          <w:color w:val="auto"/>
          <w:kern w:val="2"/>
          <w:sz w:val="28"/>
          <w:szCs w:val="28"/>
          <w:lang w:val="en-US" w:eastAsia="zh-CN" w:bidi="ar-SA"/>
        </w:rPr>
        <w:t>4、“住房保障支出”</w:t>
      </w:r>
      <w:r>
        <w:rPr>
          <w:rFonts w:hint="eastAsia" w:ascii="仿宋_GB2312" w:eastAsia="仿宋_GB2312"/>
          <w:color w:val="auto"/>
          <w:sz w:val="28"/>
          <w:szCs w:val="28"/>
          <w:lang w:val="en-US" w:eastAsia="zh-CN"/>
        </w:rPr>
        <w:t>（类）2024年度年初预算0万元，2024年度决算56万元。其中：</w:t>
      </w:r>
    </w:p>
    <w:p>
      <w:pPr>
        <w:autoSpaceDE w:val="0"/>
        <w:autoSpaceDN w:val="0"/>
        <w:adjustRightInd w:val="0"/>
        <w:spacing w:line="580" w:lineRule="exact"/>
        <w:jc w:val="left"/>
        <w:rPr>
          <w:rFonts w:hint="eastAsia"/>
          <w:color w:val="auto"/>
          <w:lang w:val="en-US" w:eastAsia="zh-CN"/>
        </w:rPr>
      </w:pPr>
      <w:r>
        <w:rPr>
          <w:rFonts w:hint="eastAsia" w:ascii="仿宋_GB2312" w:eastAsia="仿宋_GB2312"/>
          <w:color w:val="auto"/>
          <w:sz w:val="28"/>
          <w:szCs w:val="28"/>
          <w:lang w:val="en-US" w:eastAsia="zh-CN"/>
        </w:rPr>
        <w:t xml:space="preserve">   “</w:t>
      </w:r>
      <w:r>
        <w:rPr>
          <w:rFonts w:hint="eastAsia" w:ascii="仿宋_GB2312" w:eastAsia="仿宋_GB2312" w:cs="Times New Roman"/>
          <w:b w:val="0"/>
          <w:bCs w:val="0"/>
          <w:color w:val="auto"/>
          <w:kern w:val="2"/>
          <w:sz w:val="28"/>
          <w:szCs w:val="28"/>
          <w:lang w:val="en-US" w:eastAsia="zh-CN" w:bidi="ar-SA"/>
        </w:rPr>
        <w:t>住房改革支出</w:t>
      </w:r>
      <w:r>
        <w:rPr>
          <w:rFonts w:hint="eastAsia" w:ascii="仿宋_GB2312" w:eastAsia="仿宋_GB2312"/>
          <w:color w:val="auto"/>
          <w:sz w:val="28"/>
          <w:szCs w:val="28"/>
          <w:lang w:val="en-US" w:eastAsia="zh-CN"/>
        </w:rPr>
        <w:t>”（款）2024年度年初预算0万元，2024年度决算56万元。主要原因：2024年发放以前年度</w:t>
      </w:r>
      <w:bookmarkStart w:id="0" w:name="_GoBack"/>
      <w:bookmarkEnd w:id="0"/>
      <w:r>
        <w:rPr>
          <w:rFonts w:hint="eastAsia" w:ascii="仿宋_GB2312" w:eastAsia="仿宋_GB2312"/>
          <w:color w:val="auto"/>
          <w:sz w:val="28"/>
          <w:szCs w:val="28"/>
          <w:lang w:val="en-US" w:eastAsia="zh-CN"/>
        </w:rPr>
        <w:t xml:space="preserve">职工住房补贴。 </w:t>
      </w:r>
    </w:p>
    <w:p>
      <w:pPr>
        <w:rPr>
          <w:rFonts w:hint="eastAsia" w:ascii="仿宋_GB2312" w:eastAsia="仿宋_GB2312"/>
          <w:sz w:val="28"/>
          <w:szCs w:val="28"/>
        </w:rPr>
      </w:pPr>
      <w:r>
        <w:rPr>
          <w:rFonts w:hint="eastAsia"/>
          <w:lang w:val="en-US" w:eastAsia="zh-CN"/>
        </w:rPr>
        <w:t xml:space="preserve">    </w:t>
      </w: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lang w:val="en-US" w:eastAsia="zh-CN"/>
        </w:rPr>
      </w:pPr>
      <w:r>
        <w:rPr>
          <w:rFonts w:hint="eastAsia" w:ascii="仿宋_GB2312" w:eastAsia="仿宋_GB2312"/>
          <w:sz w:val="28"/>
          <w:szCs w:val="28"/>
          <w:lang w:val="en-US" w:eastAsia="zh-CN"/>
        </w:rPr>
        <w:t>2024年度国有资本经营预算财政拨款收入总计0元，国有资本经营预算财政拨款支出总计0元</w:t>
      </w:r>
      <w:r>
        <w:rPr>
          <w:rFonts w:hint="eastAsia" w:ascii="仿宋_GB2312" w:eastAsia="仿宋_GB2312"/>
          <w:color w:val="auto"/>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color w:val="auto"/>
          <w:sz w:val="28"/>
          <w:szCs w:val="28"/>
        </w:rPr>
      </w:pP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年度使用一般公共预算财政拨款安排基本支出</w:t>
      </w:r>
      <w:r>
        <w:rPr>
          <w:rFonts w:ascii="仿宋_GB2312" w:eastAsia="仿宋_GB2312"/>
          <w:color w:val="auto"/>
          <w:sz w:val="28"/>
          <w:szCs w:val="28"/>
        </w:rPr>
        <w:t>940.64</w:t>
      </w:r>
      <w:r>
        <w:rPr>
          <w:rFonts w:hint="eastAsia" w:ascii="仿宋_GB2312" w:eastAsia="仿宋_GB2312"/>
          <w:color w:val="auto"/>
          <w:sz w:val="28"/>
          <w:szCs w:val="28"/>
        </w:rPr>
        <w:t>万元，使用政府性基金财政拨款安排基本支出</w:t>
      </w:r>
      <w:r>
        <w:rPr>
          <w:rFonts w:ascii="仿宋_GB2312" w:eastAsia="仿宋_GB2312"/>
          <w:color w:val="auto"/>
          <w:sz w:val="28"/>
          <w:szCs w:val="28"/>
        </w:rPr>
        <w:t>0</w:t>
      </w:r>
      <w:r>
        <w:rPr>
          <w:rFonts w:hint="eastAsia" w:ascii="仿宋_GB2312" w:eastAsia="仿宋_GB2312"/>
          <w:color w:val="auto"/>
          <w:sz w:val="28"/>
          <w:szCs w:val="28"/>
        </w:rPr>
        <w:t>万元，（1）工资福利支出包括基本工资</w:t>
      </w:r>
      <w:r>
        <w:rPr>
          <w:rFonts w:ascii="仿宋_GB2312" w:eastAsia="仿宋_GB2312"/>
          <w:color w:val="auto"/>
          <w:sz w:val="28"/>
          <w:szCs w:val="28"/>
        </w:rPr>
        <w:t>、津贴补贴、绩效工资、</w:t>
      </w:r>
      <w:r>
        <w:rPr>
          <w:rFonts w:hint="eastAsia" w:ascii="仿宋_GB2312" w:eastAsia="仿宋_GB2312"/>
          <w:color w:val="auto"/>
          <w:sz w:val="28"/>
          <w:szCs w:val="28"/>
          <w:lang w:eastAsia="zh-CN"/>
        </w:rPr>
        <w:t>机关事业单位基本养老保险缴费、职业年金缴费、职工基本医疗保险缴费、公务员医疗补助缴费、其他社会保障缴费、住房公积金</w:t>
      </w:r>
      <w:r>
        <w:rPr>
          <w:rFonts w:hint="eastAsia" w:ascii="仿宋_GB2312" w:eastAsia="仿宋_GB2312"/>
          <w:color w:val="auto"/>
          <w:sz w:val="28"/>
          <w:szCs w:val="28"/>
        </w:rPr>
        <w:t>；（2）商品和服务支出包括</w:t>
      </w:r>
      <w:r>
        <w:rPr>
          <w:rFonts w:ascii="仿宋_GB2312" w:eastAsia="仿宋_GB2312"/>
          <w:color w:val="auto"/>
          <w:sz w:val="28"/>
          <w:szCs w:val="28"/>
        </w:rPr>
        <w:t>办公费、手续费、水费、电费、邮电费、取暖费、差旅费、维修（护）费、劳务费、工会经费、福利费、其他商品和服务</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；（3）对个人和家庭补助支出包括</w:t>
      </w:r>
      <w:r>
        <w:rPr>
          <w:rFonts w:ascii="仿宋_GB2312" w:eastAsia="仿宋_GB2312"/>
          <w:color w:val="auto"/>
          <w:sz w:val="28"/>
          <w:szCs w:val="28"/>
        </w:rPr>
        <w:t>退休费、奖励金</w:t>
      </w:r>
      <w:r>
        <w:rPr>
          <w:rFonts w:hint="eastAsia" w:ascii="仿宋_GB2312" w:eastAsia="仿宋_GB2312"/>
          <w:color w:val="auto"/>
          <w:sz w:val="28"/>
          <w:szCs w:val="28"/>
        </w:rPr>
        <w:t>等</w:t>
      </w:r>
      <w:r>
        <w:rPr>
          <w:rFonts w:ascii="仿宋_GB2312" w:eastAsia="仿宋_GB2312"/>
          <w:color w:val="auto"/>
          <w:sz w:val="28"/>
          <w:szCs w:val="28"/>
        </w:rPr>
        <w:t>支出</w:t>
      </w:r>
      <w:r>
        <w:rPr>
          <w:rFonts w:hint="eastAsia" w:ascii="仿宋_GB2312" w:eastAsia="仿宋_GB2312"/>
          <w:color w:val="auto"/>
          <w:sz w:val="28"/>
          <w:szCs w:val="28"/>
        </w:rPr>
        <w:t>。</w:t>
      </w:r>
    </w:p>
    <w:p>
      <w:pPr>
        <w:autoSpaceDE w:val="0"/>
        <w:autoSpaceDN w:val="0"/>
        <w:adjustRightInd w:val="0"/>
        <w:spacing w:line="580" w:lineRule="exact"/>
        <w:jc w:val="both"/>
        <w:rPr>
          <w:rFonts w:hint="eastAsia" w:ascii="宋体" w:hAnsi="宋体"/>
          <w:b/>
          <w:color w:val="auto"/>
          <w:spacing w:val="40"/>
          <w:sz w:val="32"/>
          <w:szCs w:val="32"/>
        </w:rPr>
      </w:pPr>
      <w:r>
        <w:rPr>
          <w:rFonts w:ascii="仿宋_GB2312" w:eastAsia="仿宋_GB2312"/>
          <w:b/>
          <w:color w:val="auto"/>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5.16</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9</w:t>
      </w:r>
      <w:r>
        <w:rPr>
          <w:rFonts w:hint="eastAsia" w:ascii="仿宋_GB2312" w:eastAsia="仿宋_GB2312"/>
          <w:sz w:val="28"/>
          <w:szCs w:val="28"/>
        </w:rPr>
        <w:t>万元减少</w:t>
      </w:r>
      <w:r>
        <w:rPr>
          <w:rFonts w:hint="eastAsia" w:ascii="仿宋_GB2312" w:eastAsia="仿宋_GB2312"/>
          <w:sz w:val="28"/>
          <w:szCs w:val="28"/>
          <w:lang w:val="en-US" w:eastAsia="zh-CN"/>
        </w:rPr>
        <w:t>3.84</w:t>
      </w:r>
      <w:r>
        <w:rPr>
          <w:rFonts w:hint="eastAsia" w:ascii="仿宋_GB2312" w:eastAsia="仿宋_GB2312"/>
          <w:sz w:val="28"/>
          <w:szCs w:val="28"/>
        </w:rPr>
        <w:t>万元。其中：</w:t>
      </w:r>
    </w:p>
    <w:p>
      <w:pPr>
        <w:numPr>
          <w:ilvl w:val="0"/>
          <w:numId w:val="1"/>
        </w:num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rPr>
        <w:t>因公出国（境）费用。202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万元增加</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2024年度无</w:t>
      </w:r>
      <w:r>
        <w:rPr>
          <w:rFonts w:hint="eastAsia" w:ascii="仿宋_GB2312" w:eastAsia="仿宋_GB2312"/>
          <w:color w:val="auto"/>
          <w:sz w:val="28"/>
          <w:szCs w:val="28"/>
        </w:rPr>
        <w:t>因公出国（境）</w:t>
      </w:r>
      <w:r>
        <w:rPr>
          <w:rFonts w:hint="eastAsia" w:ascii="仿宋_GB2312" w:eastAsia="仿宋_GB2312"/>
          <w:color w:val="auto"/>
          <w:sz w:val="28"/>
          <w:szCs w:val="28"/>
          <w:lang w:eastAsia="zh-CN"/>
        </w:rPr>
        <w:t>预算及</w:t>
      </w:r>
      <w:r>
        <w:rPr>
          <w:rFonts w:hint="eastAsia" w:ascii="仿宋_GB2312" w:eastAsia="仿宋_GB2312"/>
          <w:color w:val="auto"/>
          <w:sz w:val="28"/>
          <w:szCs w:val="28"/>
        </w:rPr>
        <w:t>费用；2024年度组织因公出国（境）团组0个、0人次。</w:t>
      </w:r>
    </w:p>
    <w:p>
      <w:pPr>
        <w:numPr>
          <w:ilvl w:val="0"/>
          <w:numId w:val="1"/>
        </w:numPr>
        <w:spacing w:line="560" w:lineRule="exact"/>
        <w:ind w:firstLine="600"/>
        <w:rPr>
          <w:rFonts w:hint="eastAsia" w:ascii="仿宋_GB2312" w:eastAsia="仿宋_GB2312"/>
          <w:color w:val="auto"/>
          <w:sz w:val="28"/>
          <w:szCs w:val="28"/>
        </w:rPr>
      </w:pPr>
      <w:r>
        <w:rPr>
          <w:rFonts w:hint="eastAsia" w:ascii="仿宋_GB2312" w:eastAsia="仿宋_GB2312"/>
          <w:color w:val="auto"/>
          <w:sz w:val="28"/>
          <w:szCs w:val="28"/>
        </w:rPr>
        <w:t>公务接待费。202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万元增加</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w:t>
      </w:r>
      <w:r>
        <w:rPr>
          <w:rFonts w:hint="eastAsia" w:ascii="仿宋_GB2312" w:eastAsia="仿宋_GB2312"/>
          <w:color w:val="auto"/>
          <w:sz w:val="28"/>
          <w:szCs w:val="28"/>
          <w:lang w:val="en-US" w:eastAsia="zh-CN"/>
        </w:rPr>
        <w:t>2024年无公务接待费预算及支出</w:t>
      </w:r>
      <w:r>
        <w:rPr>
          <w:rFonts w:hint="eastAsia" w:ascii="仿宋_GB2312" w:eastAsia="仿宋_GB2312"/>
          <w:color w:val="auto"/>
          <w:sz w:val="28"/>
          <w:szCs w:val="28"/>
        </w:rPr>
        <w:t>。公务接待</w:t>
      </w:r>
      <w:r>
        <w:rPr>
          <w:rFonts w:hint="eastAsia" w:ascii="仿宋_GB2312" w:eastAsia="仿宋_GB2312"/>
          <w:color w:val="auto"/>
          <w:sz w:val="28"/>
          <w:szCs w:val="28"/>
          <w:lang w:eastAsia="zh-CN"/>
        </w:rPr>
        <w:t>0</w:t>
      </w:r>
      <w:r>
        <w:rPr>
          <w:rFonts w:hint="eastAsia" w:ascii="仿宋_GB2312" w:eastAsia="仿宋_GB2312"/>
          <w:color w:val="auto"/>
          <w:sz w:val="28"/>
          <w:szCs w:val="28"/>
        </w:rPr>
        <w:t>批次，公务接待</w:t>
      </w:r>
      <w:r>
        <w:rPr>
          <w:rFonts w:hint="eastAsia" w:ascii="仿宋_GB2312" w:eastAsia="仿宋_GB2312"/>
          <w:color w:val="auto"/>
          <w:sz w:val="28"/>
          <w:szCs w:val="28"/>
          <w:lang w:eastAsia="zh-CN"/>
        </w:rPr>
        <w:t>0</w:t>
      </w:r>
      <w:r>
        <w:rPr>
          <w:rFonts w:hint="eastAsia" w:ascii="仿宋_GB2312" w:eastAsia="仿宋_GB2312"/>
          <w:color w:val="auto"/>
          <w:sz w:val="28"/>
          <w:szCs w:val="28"/>
        </w:rPr>
        <w:t>人次。</w:t>
      </w:r>
    </w:p>
    <w:p>
      <w:pPr>
        <w:spacing w:line="56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3.公务用车购置及运行维护费。202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5.16</w:t>
      </w:r>
      <w:r>
        <w:rPr>
          <w:rFonts w:hint="eastAsia" w:ascii="仿宋_GB2312" w:eastAsia="仿宋_GB2312"/>
          <w:color w:val="auto"/>
          <w:sz w:val="28"/>
          <w:szCs w:val="28"/>
        </w:rPr>
        <w:t>万元，比202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年度年初预算数</w:t>
      </w:r>
      <w:r>
        <w:rPr>
          <w:rFonts w:hint="eastAsia" w:ascii="仿宋_GB2312" w:eastAsia="仿宋_GB2312"/>
          <w:color w:val="auto"/>
          <w:sz w:val="28"/>
          <w:szCs w:val="28"/>
          <w:lang w:val="en-US" w:eastAsia="zh-CN"/>
        </w:rPr>
        <w:t>9</w:t>
      </w:r>
      <w:r>
        <w:rPr>
          <w:rFonts w:hint="eastAsia" w:ascii="仿宋_GB2312" w:eastAsia="仿宋_GB2312"/>
          <w:color w:val="auto"/>
          <w:sz w:val="28"/>
          <w:szCs w:val="28"/>
        </w:rPr>
        <w:t>万元减少</w:t>
      </w:r>
      <w:r>
        <w:rPr>
          <w:rFonts w:hint="eastAsia" w:ascii="仿宋_GB2312" w:eastAsia="仿宋_GB2312"/>
          <w:color w:val="auto"/>
          <w:sz w:val="28"/>
          <w:szCs w:val="28"/>
          <w:lang w:val="en-US" w:eastAsia="zh-CN"/>
        </w:rPr>
        <w:t>3.84</w:t>
      </w:r>
      <w:r>
        <w:rPr>
          <w:rFonts w:hint="eastAsia" w:ascii="仿宋_GB2312" w:eastAsia="仿宋_GB2312"/>
          <w:color w:val="auto"/>
          <w:sz w:val="28"/>
          <w:szCs w:val="28"/>
        </w:rPr>
        <w:t>万元。其中，公务用车购置费202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万元，主要原因：2024年本单位未产生公务用车购置费，202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年度购置（更新）</w:t>
      </w:r>
      <w:r>
        <w:rPr>
          <w:rFonts w:hint="eastAsia" w:ascii="仿宋_GB2312" w:eastAsia="仿宋_GB2312"/>
          <w:color w:val="auto"/>
          <w:sz w:val="28"/>
          <w:szCs w:val="28"/>
          <w:lang w:eastAsia="zh-CN"/>
        </w:rPr>
        <w:t>0</w:t>
      </w:r>
      <w:r>
        <w:rPr>
          <w:rFonts w:hint="eastAsia" w:ascii="仿宋_GB2312" w:eastAsia="仿宋_GB2312"/>
          <w:color w:val="auto"/>
          <w:sz w:val="28"/>
          <w:szCs w:val="28"/>
        </w:rPr>
        <w:t>辆。公务用车运行维护费202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年度决算数</w:t>
      </w:r>
      <w:r>
        <w:rPr>
          <w:rFonts w:hint="eastAsia" w:ascii="仿宋_GB2312" w:eastAsia="仿宋_GB2312"/>
          <w:color w:val="auto"/>
          <w:sz w:val="28"/>
          <w:szCs w:val="28"/>
          <w:lang w:val="en-US" w:eastAsia="zh-CN"/>
        </w:rPr>
        <w:t>5.16</w:t>
      </w:r>
      <w:r>
        <w:rPr>
          <w:rFonts w:hint="eastAsia" w:ascii="仿宋_GB2312" w:eastAsia="仿宋_GB2312"/>
          <w:color w:val="auto"/>
          <w:sz w:val="28"/>
          <w:szCs w:val="28"/>
        </w:rPr>
        <w:t>万元，主要原因：保障单位业务正常运转的情况下，</w:t>
      </w:r>
      <w:r>
        <w:rPr>
          <w:rFonts w:hint="eastAsia" w:ascii="仿宋_GB2312" w:eastAsia="仿宋_GB2312"/>
          <w:color w:val="auto"/>
          <w:sz w:val="28"/>
          <w:szCs w:val="28"/>
          <w:lang w:eastAsia="zh-CN"/>
        </w:rPr>
        <w:t>严控</w:t>
      </w:r>
      <w:r>
        <w:rPr>
          <w:rFonts w:hint="eastAsia" w:ascii="仿宋_GB2312" w:eastAsia="仿宋_GB2312"/>
          <w:color w:val="auto"/>
          <w:sz w:val="28"/>
          <w:szCs w:val="28"/>
        </w:rPr>
        <w:t>公务用车运行维护费</w:t>
      </w:r>
      <w:r>
        <w:rPr>
          <w:rFonts w:hint="eastAsia" w:ascii="仿宋_GB2312" w:eastAsia="仿宋_GB2312"/>
          <w:color w:val="auto"/>
          <w:sz w:val="28"/>
          <w:szCs w:val="28"/>
          <w:lang w:eastAsia="zh-CN"/>
        </w:rPr>
        <w:t>，</w:t>
      </w:r>
      <w:r>
        <w:rPr>
          <w:rFonts w:hint="eastAsia" w:ascii="仿宋_GB2312" w:eastAsia="仿宋_GB2312"/>
          <w:color w:val="auto"/>
          <w:sz w:val="28"/>
          <w:szCs w:val="28"/>
        </w:rPr>
        <w:t>厉行节约。202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年度公务用车保有量</w:t>
      </w:r>
      <w:r>
        <w:rPr>
          <w:rFonts w:ascii="仿宋_GB2312" w:eastAsia="仿宋_GB2312"/>
          <w:color w:val="auto"/>
          <w:sz w:val="28"/>
          <w:szCs w:val="28"/>
        </w:rPr>
        <w:t>5</w:t>
      </w:r>
      <w:r>
        <w:rPr>
          <w:rFonts w:hint="eastAsia" w:ascii="仿宋_GB2312" w:eastAsia="仿宋_GB2312"/>
          <w:color w:val="auto"/>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340.89</w:t>
      </w:r>
      <w:r>
        <w:rPr>
          <w:rFonts w:hint="eastAsia" w:ascii="仿宋_GB2312" w:eastAsia="仿宋_GB2312"/>
          <w:sz w:val="28"/>
          <w:szCs w:val="28"/>
        </w:rPr>
        <w:t>万元，其中：政府采购货物支出329.47万元，政府采购工程支出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万元，政府采购服务支出11.42万元。授予中小企业合同金额</w:t>
      </w:r>
      <w:r>
        <w:rPr>
          <w:rFonts w:ascii="仿宋_GB2312" w:eastAsia="仿宋_GB2312"/>
          <w:sz w:val="28"/>
          <w:szCs w:val="28"/>
        </w:rPr>
        <w:t>134.39</w:t>
      </w:r>
      <w:r>
        <w:rPr>
          <w:rFonts w:hint="eastAsia" w:ascii="仿宋_GB2312" w:eastAsia="仿宋_GB2312"/>
          <w:sz w:val="28"/>
          <w:szCs w:val="28"/>
        </w:rPr>
        <w:t>万元，占政府采购支出总额的</w:t>
      </w:r>
      <w:r>
        <w:rPr>
          <w:rFonts w:hint="eastAsia" w:ascii="仿宋_GB2312" w:eastAsia="仿宋_GB2312"/>
          <w:sz w:val="28"/>
          <w:szCs w:val="28"/>
          <w:lang w:eastAsia="zh-CN"/>
        </w:rPr>
        <w:t>39.42</w:t>
      </w:r>
      <w:r>
        <w:rPr>
          <w:rFonts w:hint="eastAsia" w:ascii="仿宋_GB2312" w:eastAsia="仿宋_GB2312"/>
          <w:sz w:val="28"/>
          <w:szCs w:val="28"/>
        </w:rPr>
        <w:t>%，其中：授予小微企业合同金额</w:t>
      </w:r>
      <w:r>
        <w:rPr>
          <w:rFonts w:ascii="仿宋_GB2312" w:eastAsia="仿宋_GB2312"/>
          <w:sz w:val="28"/>
          <w:szCs w:val="28"/>
        </w:rPr>
        <w:t>134.39</w:t>
      </w:r>
      <w:r>
        <w:rPr>
          <w:rFonts w:hint="eastAsia" w:ascii="仿宋_GB2312" w:eastAsia="仿宋_GB2312"/>
          <w:sz w:val="28"/>
          <w:szCs w:val="28"/>
        </w:rPr>
        <w:t>万元，占政府采购支出总额的</w:t>
      </w:r>
      <w:r>
        <w:rPr>
          <w:rFonts w:ascii="仿宋_GB2312" w:eastAsia="仿宋_GB2312"/>
          <w:sz w:val="28"/>
          <w:szCs w:val="28"/>
        </w:rPr>
        <w:t>39.42</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12月31日，北京市大兴区种业与植保服务站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 xml:space="preserve">7.社会保障和就业支出（类）行政事业单位养老支出（款）事业单位离退休（项）：反映事业单位开支的离退休经费。 </w:t>
      </w:r>
    </w:p>
    <w:p>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9、社会保障和就业支出（类）行政事业单位养老支出（款）机关事业单位职业年金缴费支出（项）：反映机关事业单位实施养老保险制度由单位实际缴纳的职业年金支出（含职业年金补记支出）。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社会保障和就业支出（类）行政事业单位养老支出（款）他行政事业单位养老支出（项）：反映除上述项目以外其他用于行政事业单位养老方面的支出。</w:t>
      </w:r>
    </w:p>
    <w:p>
      <w:pPr>
        <w:ind w:firstLine="420" w:firstLineChars="150"/>
        <w:rPr>
          <w:rFonts w:hint="eastAsia" w:ascii="仿宋_GB2312" w:eastAsia="仿宋_GB2312"/>
          <w:sz w:val="28"/>
          <w:szCs w:val="28"/>
        </w:rPr>
      </w:pPr>
      <w:r>
        <w:rPr>
          <w:rFonts w:hint="eastAsia" w:ascii="仿宋_GB2312" w:eastAsia="仿宋_GB2312"/>
          <w:sz w:val="28"/>
          <w:szCs w:val="28"/>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rPr>
        <w:t>12.卫生健康支出（类）行政事业单位医疗（款）公务员医疗补助（项）：反映财政部门安排的公务员医疗补助经费。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rPr>
        <w:t>13.农林水支出(类)农业农村（款）事业运行（项）：反映用于农业事业单位基本支出，事业单位设施、系统运行与资产维护等方面的支出。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14.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15.农林水支出(类)农业农村（款）其他农业农村支出（项）：反映除上述项目以外其他用于农业农村方面的支出。</w:t>
      </w:r>
    </w:p>
    <w:p>
      <w:pPr>
        <w:ind w:firstLine="420" w:firstLineChars="150"/>
        <w:rPr>
          <w:rFonts w:hint="eastAsia" w:ascii="仿宋_GB2312" w:eastAsia="仿宋_GB2312"/>
          <w:sz w:val="28"/>
          <w:szCs w:val="28"/>
        </w:rPr>
      </w:pPr>
      <w:r>
        <w:rPr>
          <w:rFonts w:hint="eastAsia" w:ascii="仿宋_GB2312" w:eastAsia="仿宋_GB2312"/>
          <w:sz w:val="28"/>
          <w:szCs w:val="28"/>
        </w:rPr>
        <w:t>16.住房保障支出(类)住房改革支出（款）购房补贴（项）：反映按房改政策规定，行政事业单位向符合条件职工（含离退休人员）、军队(含武警)向转役复原离退休人员发放的用于购买住房的补贴。</w:t>
      </w:r>
    </w:p>
    <w:p>
      <w:pPr>
        <w:pStyle w:val="2"/>
        <w:rPr>
          <w:rFonts w:hint="eastAsia"/>
        </w:rPr>
      </w:pPr>
    </w:p>
    <w:p>
      <w:pPr>
        <w:pStyle w:val="2"/>
        <w:rPr>
          <w:rFonts w:hint="eastAsia"/>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rPr>
          <w:rFonts w:hint="eastAsia"/>
        </w:rPr>
      </w:pPr>
    </w:p>
    <w:p>
      <w:pPr>
        <w:rPr>
          <w:rFonts w:hint="eastAsia"/>
        </w:rPr>
      </w:pPr>
    </w:p>
    <w:p>
      <w:pPr>
        <w:pStyle w:val="2"/>
        <w:rPr>
          <w:rFonts w:hint="eastAsia"/>
        </w:rPr>
      </w:pPr>
    </w:p>
    <w:p>
      <w:pPr>
        <w:tabs>
          <w:tab w:val="center" w:pos="6979"/>
        </w:tabs>
        <w:spacing w:line="380" w:lineRule="exact"/>
        <w:jc w:val="both"/>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w:t>
      </w:r>
      <w:r>
        <w:rPr>
          <w:rFonts w:hint="eastAsia" w:ascii="黑体" w:eastAsia="黑体"/>
          <w:sz w:val="32"/>
          <w:szCs w:val="32"/>
          <w:lang w:eastAsia="zh-CN"/>
        </w:rPr>
        <w:t>单位</w:t>
      </w:r>
      <w:r>
        <w:rPr>
          <w:rFonts w:hint="eastAsia" w:ascii="黑体" w:eastAsia="黑体"/>
          <w:sz w:val="32"/>
          <w:szCs w:val="32"/>
        </w:rPr>
        <w:t>绩效评价情况</w:t>
      </w:r>
    </w:p>
    <w:p>
      <w:pPr>
        <w:ind w:firstLine="560" w:firstLineChars="200"/>
        <w:rPr>
          <w:rFonts w:hint="eastAsia" w:ascii="黑体" w:eastAsia="黑体"/>
          <w:sz w:val="28"/>
          <w:szCs w:val="28"/>
          <w:highlight w:val="yellow"/>
        </w:rPr>
      </w:pPr>
    </w:p>
    <w:p>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2</w:t>
      </w:r>
      <w:r>
        <w:rPr>
          <w:rFonts w:hint="eastAsia" w:ascii="黑体" w:eastAsia="黑体"/>
          <w:sz w:val="28"/>
          <w:szCs w:val="28"/>
          <w:highlight w:val="none"/>
          <w:lang w:eastAsia="zh-CN"/>
        </w:rPr>
        <w:t>）</w:t>
      </w:r>
    </w:p>
    <w:p>
      <w:pPr>
        <w:spacing w:line="480" w:lineRule="exact"/>
        <w:rPr>
          <w:rFonts w:hint="eastAsia" w:ascii="仿宋_GB2312" w:hAnsi="仿宋_GB2312" w:eastAsia="仿宋_GB2312" w:cs="仿宋_GB2312"/>
          <w:sz w:val="32"/>
          <w:szCs w:val="32"/>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alibri">
    <w:panose1 w:val="020F0502020204030204"/>
    <w:charset w:val="00"/>
    <w:family w:val="auto"/>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4</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13</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58594527">
    <w:nsid w:val="68D205DF"/>
    <w:multiLevelType w:val="singleLevel"/>
    <w:tmpl w:val="68D205DF"/>
    <w:lvl w:ilvl="0" w:tentative="1">
      <w:start w:val="1"/>
      <w:numFmt w:val="decimal"/>
      <w:suff w:val="nothing"/>
      <w:lvlText w:val="%1."/>
      <w:lvlJc w:val="left"/>
    </w:lvl>
  </w:abstractNum>
  <w:abstractNum w:abstractNumId="2373878974">
    <w:nsid w:val="8D7E84BE"/>
    <w:multiLevelType w:val="singleLevel"/>
    <w:tmpl w:val="8D7E84BE"/>
    <w:lvl w:ilvl="0" w:tentative="1">
      <w:start w:val="1"/>
      <w:numFmt w:val="chineseCounting"/>
      <w:suff w:val="nothing"/>
      <w:lvlText w:val="%1、"/>
      <w:lvlJc w:val="left"/>
      <w:rPr>
        <w:rFonts w:hint="eastAsia"/>
      </w:rPr>
    </w:lvl>
  </w:abstractNum>
  <w:num w:numId="1">
    <w:abstractNumId w:val="1758594527"/>
  </w:num>
  <w:num w:numId="2">
    <w:abstractNumId w:val="23738789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77035F"/>
    <w:rsid w:val="02F120AB"/>
    <w:rsid w:val="02F3038D"/>
    <w:rsid w:val="032B5196"/>
    <w:rsid w:val="04C3537C"/>
    <w:rsid w:val="06160A34"/>
    <w:rsid w:val="07342890"/>
    <w:rsid w:val="079004AC"/>
    <w:rsid w:val="08BF5DD7"/>
    <w:rsid w:val="09851D3F"/>
    <w:rsid w:val="0B770565"/>
    <w:rsid w:val="0BA148CA"/>
    <w:rsid w:val="0C1165C4"/>
    <w:rsid w:val="0D063BF8"/>
    <w:rsid w:val="0D1A4E61"/>
    <w:rsid w:val="0D6D544B"/>
    <w:rsid w:val="0DD136FE"/>
    <w:rsid w:val="0E7E38E6"/>
    <w:rsid w:val="0F542F2C"/>
    <w:rsid w:val="0F664788"/>
    <w:rsid w:val="0F8E2C57"/>
    <w:rsid w:val="1059665E"/>
    <w:rsid w:val="10AC13BA"/>
    <w:rsid w:val="12790432"/>
    <w:rsid w:val="13BE7746"/>
    <w:rsid w:val="145A6C1B"/>
    <w:rsid w:val="14B73493"/>
    <w:rsid w:val="167A2FF9"/>
    <w:rsid w:val="1764587C"/>
    <w:rsid w:val="18223F17"/>
    <w:rsid w:val="18581C69"/>
    <w:rsid w:val="1AEC0734"/>
    <w:rsid w:val="1DEF20B0"/>
    <w:rsid w:val="1F410BF6"/>
    <w:rsid w:val="1F7331BB"/>
    <w:rsid w:val="1FF7AB17"/>
    <w:rsid w:val="20917A23"/>
    <w:rsid w:val="210600C7"/>
    <w:rsid w:val="21066BA6"/>
    <w:rsid w:val="214243FA"/>
    <w:rsid w:val="21AD613C"/>
    <w:rsid w:val="21C34D9D"/>
    <w:rsid w:val="21D5674F"/>
    <w:rsid w:val="22467189"/>
    <w:rsid w:val="246166FB"/>
    <w:rsid w:val="257A14F5"/>
    <w:rsid w:val="27196C26"/>
    <w:rsid w:val="28532A36"/>
    <w:rsid w:val="28804FD0"/>
    <w:rsid w:val="28EB2B97"/>
    <w:rsid w:val="29A93E7A"/>
    <w:rsid w:val="29EF086F"/>
    <w:rsid w:val="2BBB1BFE"/>
    <w:rsid w:val="2BC34C59"/>
    <w:rsid w:val="2C3772BE"/>
    <w:rsid w:val="2E2137D0"/>
    <w:rsid w:val="2EFD2E5B"/>
    <w:rsid w:val="2EFFE297"/>
    <w:rsid w:val="301437CA"/>
    <w:rsid w:val="31D5723E"/>
    <w:rsid w:val="322731DB"/>
    <w:rsid w:val="326205A2"/>
    <w:rsid w:val="33210677"/>
    <w:rsid w:val="335A1E51"/>
    <w:rsid w:val="349D1F0A"/>
    <w:rsid w:val="34DD0473"/>
    <w:rsid w:val="359C49AE"/>
    <w:rsid w:val="363C1E5D"/>
    <w:rsid w:val="3887427C"/>
    <w:rsid w:val="39477F3D"/>
    <w:rsid w:val="39856E12"/>
    <w:rsid w:val="3A8E35DC"/>
    <w:rsid w:val="3B3B4D5E"/>
    <w:rsid w:val="3B80469D"/>
    <w:rsid w:val="3C0F0B62"/>
    <w:rsid w:val="3C533F49"/>
    <w:rsid w:val="3C615273"/>
    <w:rsid w:val="3C684897"/>
    <w:rsid w:val="3CC6789A"/>
    <w:rsid w:val="3CFA69D4"/>
    <w:rsid w:val="3D097155"/>
    <w:rsid w:val="3D5D3B41"/>
    <w:rsid w:val="3E9755F8"/>
    <w:rsid w:val="41582A58"/>
    <w:rsid w:val="433E495C"/>
    <w:rsid w:val="43DB4AB0"/>
    <w:rsid w:val="46AB6D54"/>
    <w:rsid w:val="489E3C6D"/>
    <w:rsid w:val="489F2FD7"/>
    <w:rsid w:val="48BC339B"/>
    <w:rsid w:val="49EB4A12"/>
    <w:rsid w:val="4AC27CB3"/>
    <w:rsid w:val="4BF72BEF"/>
    <w:rsid w:val="4DFC16B7"/>
    <w:rsid w:val="4E782C75"/>
    <w:rsid w:val="4FA90297"/>
    <w:rsid w:val="4FC41A43"/>
    <w:rsid w:val="51585519"/>
    <w:rsid w:val="51DB3C59"/>
    <w:rsid w:val="51E66C27"/>
    <w:rsid w:val="532755A8"/>
    <w:rsid w:val="53CC7E27"/>
    <w:rsid w:val="53EF599B"/>
    <w:rsid w:val="53FB2C79"/>
    <w:rsid w:val="54723AAD"/>
    <w:rsid w:val="54B018C7"/>
    <w:rsid w:val="550C0952"/>
    <w:rsid w:val="55762E42"/>
    <w:rsid w:val="56787DBA"/>
    <w:rsid w:val="56C454DF"/>
    <w:rsid w:val="571E51C8"/>
    <w:rsid w:val="57A7B272"/>
    <w:rsid w:val="58470068"/>
    <w:rsid w:val="58747CAC"/>
    <w:rsid w:val="58AD5CE4"/>
    <w:rsid w:val="59E94DC9"/>
    <w:rsid w:val="5A1720F9"/>
    <w:rsid w:val="5B9C37C2"/>
    <w:rsid w:val="5BA7C654"/>
    <w:rsid w:val="5DF716AE"/>
    <w:rsid w:val="5F8B3616"/>
    <w:rsid w:val="5F991C97"/>
    <w:rsid w:val="5F9F507E"/>
    <w:rsid w:val="60541E69"/>
    <w:rsid w:val="60A54109"/>
    <w:rsid w:val="60E076E0"/>
    <w:rsid w:val="61D01CDF"/>
    <w:rsid w:val="64022104"/>
    <w:rsid w:val="64733E8F"/>
    <w:rsid w:val="64C0607C"/>
    <w:rsid w:val="65756C86"/>
    <w:rsid w:val="66CF1A24"/>
    <w:rsid w:val="674D385B"/>
    <w:rsid w:val="676F09E1"/>
    <w:rsid w:val="67C1642B"/>
    <w:rsid w:val="6804627B"/>
    <w:rsid w:val="6BA70561"/>
    <w:rsid w:val="6CB40B22"/>
    <w:rsid w:val="6CF81B5D"/>
    <w:rsid w:val="6D2A6149"/>
    <w:rsid w:val="6DCA7CAD"/>
    <w:rsid w:val="6FB3315A"/>
    <w:rsid w:val="70032A99"/>
    <w:rsid w:val="701F6FEC"/>
    <w:rsid w:val="70F317F0"/>
    <w:rsid w:val="71691990"/>
    <w:rsid w:val="71793A80"/>
    <w:rsid w:val="734531FD"/>
    <w:rsid w:val="7357290B"/>
    <w:rsid w:val="741E3CC6"/>
    <w:rsid w:val="756E3DEA"/>
    <w:rsid w:val="76C3607A"/>
    <w:rsid w:val="76FA408C"/>
    <w:rsid w:val="76FB1693"/>
    <w:rsid w:val="770F3533"/>
    <w:rsid w:val="774B5D65"/>
    <w:rsid w:val="77F73D17"/>
    <w:rsid w:val="78143A04"/>
    <w:rsid w:val="798524E4"/>
    <w:rsid w:val="7A453146"/>
    <w:rsid w:val="7A7F1C49"/>
    <w:rsid w:val="7B2743BF"/>
    <w:rsid w:val="7B5B7AE6"/>
    <w:rsid w:val="7B6D536B"/>
    <w:rsid w:val="7B7B6628"/>
    <w:rsid w:val="7BA7071E"/>
    <w:rsid w:val="7BDF6DA8"/>
    <w:rsid w:val="7BE72C9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paragraph" w:customStyle="1" w:styleId="14">
    <w:name w:val="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2025-09-24T02:27:17Z</cp:lastPrinted>
  <dcterms:modified xsi:type="dcterms:W3CDTF">2025-09-24T02:52:22Z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