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w:t>
      </w:r>
      <w:r>
        <w:rPr>
          <w:rFonts w:hint="eastAsia" w:ascii="黑体" w:eastAsia="黑体"/>
          <w:sz w:val="72"/>
          <w:szCs w:val="72"/>
          <w:lang w:eastAsia="zh-CN"/>
        </w:rPr>
        <w:t>单位</w:t>
      </w:r>
      <w:r>
        <w:rPr>
          <w:rFonts w:hint="eastAsia" w:ascii="黑体" w:eastAsia="黑体"/>
          <w:sz w:val="72"/>
          <w:szCs w:val="72"/>
        </w:rPr>
        <w:t>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spacing w:val="40"/>
          <w:sz w:val="32"/>
          <w:szCs w:val="32"/>
          <w:lang w:eastAsia="zh-CN"/>
        </w:rPr>
        <w:t>单位</w:t>
      </w:r>
      <w:r>
        <w:rPr>
          <w:rFonts w:hint="eastAsia" w:ascii="宋体" w:hAnsi="宋体"/>
          <w:spacing w:val="40"/>
          <w:sz w:val="32"/>
          <w:szCs w:val="32"/>
        </w:rPr>
        <w:t>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w:t>
      </w:r>
      <w:r>
        <w:rPr>
          <w:rFonts w:hint="eastAsia" w:ascii="宋体" w:hAnsi="宋体" w:cs="宋体"/>
          <w:spacing w:val="40"/>
          <w:kern w:val="0"/>
          <w:sz w:val="32"/>
          <w:szCs w:val="32"/>
          <w:lang w:eastAsia="zh-CN"/>
        </w:rPr>
        <w:t>单位</w:t>
      </w:r>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w:t>
      </w:r>
      <w:r>
        <w:rPr>
          <w:rFonts w:hint="eastAsia" w:ascii="宋体" w:hAnsi="宋体" w:cs="宋体"/>
          <w:b/>
          <w:bCs/>
          <w:spacing w:val="40"/>
          <w:kern w:val="0"/>
          <w:sz w:val="44"/>
          <w:szCs w:val="44"/>
          <w:lang w:eastAsia="zh-CN"/>
        </w:rPr>
        <w:t>单位</w:t>
      </w:r>
      <w:r>
        <w:rPr>
          <w:rFonts w:hint="eastAsia" w:ascii="宋体" w:hAnsi="宋体" w:cs="宋体"/>
          <w:b/>
          <w:bCs/>
          <w:spacing w:val="40"/>
          <w:kern w:val="0"/>
          <w:sz w:val="44"/>
          <w:szCs w:val="44"/>
        </w:rPr>
        <w:t>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b/>
          <w:spacing w:val="40"/>
          <w:sz w:val="32"/>
          <w:szCs w:val="32"/>
          <w:lang w:eastAsia="zh-CN"/>
        </w:rPr>
        <w:t>单位</w:t>
      </w:r>
      <w:r>
        <w:rPr>
          <w:rFonts w:hint="eastAsia" w:ascii="宋体" w:hAnsi="宋体"/>
          <w:b/>
          <w:spacing w:val="40"/>
          <w:sz w:val="32"/>
          <w:szCs w:val="32"/>
        </w:rPr>
        <w:t>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560" w:firstLineChars="200"/>
        <w:jc w:val="both"/>
        <w:textAlignment w:val="auto"/>
        <w:rPr>
          <w:rFonts w:hint="eastAsia" w:ascii="仿宋_GB2312" w:hAnsi="Arial" w:eastAsia="仿宋_GB2312" w:cs="Arial"/>
          <w:snapToGrid/>
          <w:kern w:val="2"/>
          <w:sz w:val="28"/>
          <w:szCs w:val="28"/>
          <w:highlight w:val="none"/>
          <w:lang w:val="en-US" w:eastAsia="zh-CN"/>
        </w:rPr>
      </w:pPr>
      <w:r>
        <w:rPr>
          <w:rFonts w:hint="eastAsia" w:ascii="仿宋_GB2312" w:hAnsi="Arial" w:eastAsia="仿宋_GB2312" w:cs="Arial"/>
          <w:snapToGrid/>
          <w:kern w:val="2"/>
          <w:sz w:val="28"/>
          <w:szCs w:val="28"/>
          <w:highlight w:val="none"/>
          <w:lang w:val="en-US" w:eastAsia="zh-CN"/>
        </w:rPr>
        <w:t>（一）主要职责</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560" w:firstLineChars="200"/>
        <w:jc w:val="both"/>
        <w:textAlignment w:val="auto"/>
        <w:rPr>
          <w:rFonts w:hint="eastAsia" w:ascii="仿宋_GB2312" w:hAnsi="Arial" w:eastAsia="仿宋_GB2312" w:cs="Arial"/>
          <w:snapToGrid/>
          <w:kern w:val="2"/>
          <w:sz w:val="28"/>
          <w:szCs w:val="28"/>
          <w:highlight w:val="none"/>
          <w:lang w:val="en-US" w:eastAsia="zh-CN"/>
        </w:rPr>
      </w:pPr>
      <w:r>
        <w:rPr>
          <w:rFonts w:hint="eastAsia" w:ascii="仿宋_GB2312" w:hAnsi="Arial" w:eastAsia="仿宋_GB2312" w:cs="Arial"/>
          <w:snapToGrid/>
          <w:kern w:val="2"/>
          <w:sz w:val="28"/>
          <w:szCs w:val="28"/>
          <w:highlight w:val="none"/>
          <w:lang w:val="en-US" w:eastAsia="zh-CN"/>
        </w:rPr>
        <w:t>1.负责制定种植业产业推广服务计划；</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560" w:firstLineChars="200"/>
        <w:jc w:val="both"/>
        <w:textAlignment w:val="auto"/>
        <w:rPr>
          <w:rFonts w:hint="eastAsia" w:ascii="仿宋_GB2312" w:hAnsi="Arial" w:eastAsia="仿宋_GB2312" w:cs="Arial"/>
          <w:snapToGrid/>
          <w:kern w:val="2"/>
          <w:sz w:val="28"/>
          <w:szCs w:val="28"/>
          <w:highlight w:val="none"/>
          <w:lang w:val="en-US" w:eastAsia="zh-CN"/>
        </w:rPr>
      </w:pPr>
      <w:r>
        <w:rPr>
          <w:rFonts w:hint="eastAsia" w:ascii="仿宋_GB2312" w:hAnsi="Arial" w:eastAsia="仿宋_GB2312" w:cs="Arial"/>
          <w:snapToGrid/>
          <w:kern w:val="2"/>
          <w:sz w:val="28"/>
          <w:szCs w:val="28"/>
          <w:highlight w:val="none"/>
          <w:lang w:val="en-US" w:eastAsia="zh-CN"/>
        </w:rPr>
        <w:t>2.负责农作物新品种、新技术的研发、引进、试验、示 范与推广；</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560" w:firstLineChars="200"/>
        <w:jc w:val="both"/>
        <w:textAlignment w:val="auto"/>
        <w:rPr>
          <w:rFonts w:hint="eastAsia" w:ascii="仿宋_GB2312" w:hAnsi="Arial" w:eastAsia="仿宋_GB2312" w:cs="Arial"/>
          <w:snapToGrid/>
          <w:kern w:val="2"/>
          <w:sz w:val="28"/>
          <w:szCs w:val="28"/>
          <w:highlight w:val="none"/>
          <w:lang w:val="en-US" w:eastAsia="zh-CN"/>
        </w:rPr>
      </w:pPr>
      <w:r>
        <w:rPr>
          <w:rFonts w:hint="eastAsia" w:ascii="仿宋_GB2312" w:hAnsi="Arial" w:eastAsia="仿宋_GB2312" w:cs="Arial"/>
          <w:snapToGrid/>
          <w:kern w:val="2"/>
          <w:sz w:val="28"/>
          <w:szCs w:val="28"/>
          <w:highlight w:val="none"/>
          <w:lang w:val="en-US" w:eastAsia="zh-CN"/>
        </w:rPr>
        <w:t>3.负责新型肥料及施用技术推广与服务</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560" w:firstLineChars="200"/>
        <w:jc w:val="both"/>
        <w:textAlignment w:val="auto"/>
        <w:rPr>
          <w:rFonts w:hint="eastAsia" w:ascii="仿宋_GB2312" w:hAnsi="Arial" w:eastAsia="仿宋_GB2312" w:cs="Arial"/>
          <w:snapToGrid/>
          <w:kern w:val="2"/>
          <w:sz w:val="28"/>
          <w:szCs w:val="28"/>
          <w:highlight w:val="none"/>
          <w:lang w:val="en-US" w:eastAsia="zh-CN"/>
        </w:rPr>
      </w:pPr>
      <w:r>
        <w:rPr>
          <w:rFonts w:hint="eastAsia" w:ascii="仿宋_GB2312" w:hAnsi="Arial" w:eastAsia="仿宋_GB2312" w:cs="Arial"/>
          <w:snapToGrid/>
          <w:kern w:val="2"/>
          <w:sz w:val="28"/>
          <w:szCs w:val="28"/>
          <w:highlight w:val="none"/>
          <w:lang w:val="en-US" w:eastAsia="zh-CN"/>
        </w:rPr>
        <w:t>4.负责特色农产品的研究与开发；</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560" w:firstLineChars="200"/>
        <w:jc w:val="both"/>
        <w:textAlignment w:val="auto"/>
        <w:rPr>
          <w:rFonts w:hint="eastAsia" w:ascii="仿宋_GB2312" w:hAnsi="Arial" w:eastAsia="仿宋_GB2312" w:cs="Arial"/>
          <w:snapToGrid/>
          <w:kern w:val="2"/>
          <w:sz w:val="28"/>
          <w:szCs w:val="28"/>
          <w:highlight w:val="none"/>
          <w:lang w:val="en-US" w:eastAsia="zh-CN"/>
        </w:rPr>
      </w:pPr>
      <w:r>
        <w:rPr>
          <w:rFonts w:hint="eastAsia" w:ascii="仿宋_GB2312" w:hAnsi="Arial" w:eastAsia="仿宋_GB2312" w:cs="Arial"/>
          <w:snapToGrid/>
          <w:kern w:val="2"/>
          <w:sz w:val="28"/>
          <w:szCs w:val="28"/>
          <w:highlight w:val="none"/>
          <w:lang w:val="en-US" w:eastAsia="zh-CN"/>
        </w:rPr>
        <w:t>5.负责农作物农副产品利用研究。</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560" w:firstLineChars="200"/>
        <w:jc w:val="both"/>
        <w:textAlignment w:val="auto"/>
        <w:rPr>
          <w:rFonts w:hint="eastAsia" w:ascii="仿宋_GB2312" w:hAnsi="Arial" w:eastAsia="仿宋_GB2312" w:cs="Arial"/>
          <w:snapToGrid/>
          <w:kern w:val="2"/>
          <w:sz w:val="28"/>
          <w:szCs w:val="28"/>
          <w:highlight w:val="none"/>
          <w:lang w:val="en-US" w:eastAsia="zh-CN"/>
        </w:rPr>
      </w:pPr>
      <w:r>
        <w:rPr>
          <w:rFonts w:hint="eastAsia" w:ascii="仿宋_GB2312" w:hAnsi="Arial" w:eastAsia="仿宋_GB2312" w:cs="Arial"/>
          <w:snapToGrid/>
          <w:kern w:val="2"/>
          <w:sz w:val="28"/>
          <w:szCs w:val="28"/>
          <w:highlight w:val="none"/>
          <w:lang w:val="en-US" w:eastAsia="zh-CN"/>
        </w:rPr>
        <w:t>（二）机构设置情况</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560" w:firstLineChars="200"/>
        <w:jc w:val="both"/>
        <w:textAlignment w:val="auto"/>
        <w:rPr>
          <w:rFonts w:hint="eastAsia" w:ascii="仿宋_GB2312" w:hAnsi="Arial" w:eastAsia="仿宋_GB2312" w:cs="Arial"/>
          <w:snapToGrid/>
          <w:kern w:val="2"/>
          <w:sz w:val="28"/>
          <w:szCs w:val="28"/>
          <w:highlight w:val="none"/>
          <w:lang w:val="en-US" w:eastAsia="zh-CN"/>
        </w:rPr>
      </w:pPr>
      <w:r>
        <w:rPr>
          <w:rFonts w:hint="eastAsia" w:ascii="仿宋_GB2312" w:hAnsi="Arial" w:eastAsia="仿宋_GB2312" w:cs="Arial"/>
          <w:snapToGrid/>
          <w:kern w:val="2"/>
          <w:sz w:val="28"/>
          <w:szCs w:val="28"/>
          <w:highlight w:val="none"/>
          <w:lang w:val="en-US" w:eastAsia="zh-CN"/>
        </w:rPr>
        <w:t>北京市大兴区种植业技术推广站属于全额拨款事业单位，内设办公室、 综合管理科、计划财务科、瓜类作物科、粮经作物科、土壤肥料科、节水农业科、基地管理科（东区）、基地管理科（西区）九个职能科室。</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3280.65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477.11</w:t>
      </w:r>
      <w:r>
        <w:rPr>
          <w:rFonts w:hint="eastAsia" w:ascii="仿宋_GB2312" w:eastAsia="仿宋_GB2312"/>
          <w:sz w:val="28"/>
          <w:szCs w:val="28"/>
        </w:rPr>
        <w:t>万元，增长</w:t>
      </w:r>
      <w:r>
        <w:rPr>
          <w:rFonts w:hint="eastAsia" w:ascii="仿宋_GB2312" w:eastAsia="仿宋_GB2312"/>
          <w:sz w:val="28"/>
          <w:szCs w:val="28"/>
          <w:lang w:val="en-US" w:eastAsia="zh-CN"/>
        </w:rPr>
        <w:t>17.02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3138.26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412.87</w:t>
      </w:r>
      <w:r>
        <w:rPr>
          <w:rFonts w:hint="eastAsia" w:ascii="仿宋_GB2312" w:eastAsia="仿宋_GB2312"/>
          <w:sz w:val="28"/>
          <w:szCs w:val="28"/>
        </w:rPr>
        <w:t>万元，增长</w:t>
      </w:r>
      <w:r>
        <w:rPr>
          <w:rFonts w:hint="eastAsia" w:ascii="仿宋_GB2312" w:eastAsia="仿宋_GB2312"/>
          <w:sz w:val="28"/>
          <w:szCs w:val="28"/>
          <w:lang w:val="en-US" w:eastAsia="zh-CN"/>
        </w:rPr>
        <w:t>15.15</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3033.26</w:t>
      </w:r>
      <w:r>
        <w:rPr>
          <w:rFonts w:hint="eastAsia" w:ascii="仿宋_GB2312" w:eastAsia="仿宋_GB2312"/>
          <w:sz w:val="28"/>
          <w:szCs w:val="28"/>
        </w:rPr>
        <w:t>万元，占收入合计的</w:t>
      </w:r>
      <w:r>
        <w:rPr>
          <w:rFonts w:hint="eastAsia" w:ascii="仿宋_GB2312" w:eastAsia="仿宋_GB2312"/>
          <w:sz w:val="28"/>
          <w:szCs w:val="28"/>
          <w:lang w:eastAsia="zh-CN"/>
        </w:rPr>
        <w:t>96.65%。</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3033.26</w:t>
      </w:r>
      <w:r>
        <w:rPr>
          <w:rFonts w:hint="eastAsia" w:ascii="仿宋_GB2312" w:eastAsia="仿宋_GB2312"/>
          <w:sz w:val="28"/>
          <w:szCs w:val="28"/>
        </w:rPr>
        <w:t>万元，占收入合计的</w:t>
      </w:r>
      <w:r>
        <w:rPr>
          <w:rFonts w:hint="eastAsia" w:ascii="仿宋_GB2312" w:eastAsia="仿宋_GB2312"/>
          <w:sz w:val="28"/>
          <w:szCs w:val="28"/>
          <w:lang w:val="en-US" w:eastAsia="zh-CN"/>
        </w:rPr>
        <w:t>96.65</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105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3.35</w:t>
      </w:r>
      <w:r>
        <w:rPr>
          <w:rFonts w:hint="eastAsia" w:ascii="仿宋_GB2312" w:eastAsia="仿宋_GB2312"/>
          <w:sz w:val="28"/>
          <w:szCs w:val="28"/>
          <w:highlight w:val="none"/>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3222.8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424.36</w:t>
      </w:r>
      <w:r>
        <w:rPr>
          <w:rFonts w:hint="eastAsia" w:ascii="仿宋_GB2312" w:eastAsia="仿宋_GB2312"/>
          <w:sz w:val="28"/>
          <w:szCs w:val="28"/>
        </w:rPr>
        <w:t>万元，增长</w:t>
      </w:r>
      <w:r>
        <w:rPr>
          <w:rFonts w:hint="eastAsia" w:ascii="仿宋_GB2312" w:eastAsia="仿宋_GB2312"/>
          <w:sz w:val="28"/>
          <w:szCs w:val="28"/>
          <w:lang w:val="en-US" w:eastAsia="zh-CN"/>
        </w:rPr>
        <w:t>15.16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1932.27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59.96</w:t>
      </w:r>
      <w:r>
        <w:rPr>
          <w:rFonts w:hint="eastAsia" w:ascii="仿宋_GB2312" w:eastAsia="仿宋_GB2312"/>
          <w:sz w:val="28"/>
          <w:szCs w:val="28"/>
          <w:highlight w:val="none"/>
        </w:rPr>
        <w:t>%；项目支出</w:t>
      </w:r>
      <w:r>
        <w:rPr>
          <w:rFonts w:ascii="仿宋_GB2312" w:eastAsia="仿宋_GB2312"/>
          <w:sz w:val="28"/>
          <w:szCs w:val="28"/>
          <w:highlight w:val="none"/>
        </w:rPr>
        <w:t>1290.53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40.04</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3170.55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550.01</w:t>
      </w:r>
      <w:r>
        <w:rPr>
          <w:rFonts w:hint="eastAsia" w:ascii="仿宋_GB2312" w:eastAsia="仿宋_GB2312"/>
          <w:sz w:val="28"/>
          <w:szCs w:val="28"/>
        </w:rPr>
        <w:t>万元，增长</w:t>
      </w:r>
      <w:r>
        <w:rPr>
          <w:rFonts w:hint="eastAsia" w:ascii="仿宋_GB2312" w:eastAsia="仿宋_GB2312"/>
          <w:sz w:val="28"/>
          <w:szCs w:val="28"/>
          <w:lang w:val="en-US" w:eastAsia="zh-CN"/>
        </w:rPr>
        <w:t>20.99</w:t>
      </w:r>
      <w:r>
        <w:rPr>
          <w:rFonts w:hint="eastAsia" w:ascii="仿宋_GB2312" w:eastAsia="仿宋_GB2312"/>
          <w:sz w:val="28"/>
          <w:szCs w:val="28"/>
        </w:rPr>
        <w:t>%。主要原因：</w:t>
      </w:r>
      <w:r>
        <w:rPr>
          <w:rFonts w:hint="eastAsia" w:ascii="仿宋_GB2312" w:eastAsia="仿宋_GB2312"/>
          <w:sz w:val="28"/>
          <w:szCs w:val="28"/>
          <w:lang w:eastAsia="zh-CN"/>
        </w:rPr>
        <w:t>中央及市级项目资金增加和发放以前年度在职职工购房补贴</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年度一般公共预算财政拨款支出</w:t>
      </w:r>
      <w:r>
        <w:rPr>
          <w:rFonts w:ascii="仿宋_GB2312" w:eastAsia="仿宋_GB2312"/>
          <w:color w:val="auto"/>
          <w:sz w:val="28"/>
          <w:szCs w:val="28"/>
        </w:rPr>
        <w:t>3170.55</w:t>
      </w:r>
      <w:r>
        <w:rPr>
          <w:rFonts w:hint="eastAsia" w:ascii="仿宋_GB2312" w:eastAsia="仿宋_GB2312"/>
          <w:color w:val="auto"/>
          <w:sz w:val="28"/>
          <w:szCs w:val="28"/>
        </w:rPr>
        <w:t>万元，主要用于以下方面（按大类）：</w:t>
      </w:r>
      <w:r>
        <w:rPr>
          <w:rFonts w:hint="eastAsia" w:ascii="仿宋_GB2312" w:eastAsia="仿宋_GB2312"/>
          <w:color w:val="auto"/>
          <w:sz w:val="28"/>
          <w:szCs w:val="28"/>
          <w:lang w:val="en-US" w:eastAsia="zh-CN"/>
        </w:rPr>
        <w:t>社会保障和就业</w:t>
      </w:r>
      <w:r>
        <w:rPr>
          <w:rFonts w:hint="eastAsia" w:ascii="仿宋_GB2312" w:eastAsia="仿宋_GB2312"/>
          <w:color w:val="auto"/>
          <w:sz w:val="28"/>
          <w:szCs w:val="28"/>
        </w:rPr>
        <w:t>支出</w:t>
      </w:r>
      <w:r>
        <w:rPr>
          <w:rFonts w:hint="eastAsia" w:ascii="仿宋_GB2312" w:eastAsia="仿宋_GB2312"/>
          <w:color w:val="auto"/>
          <w:sz w:val="28"/>
          <w:szCs w:val="28"/>
          <w:lang w:val="en-US" w:eastAsia="zh-CN"/>
        </w:rPr>
        <w:t>280.48</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8.85</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卫生健康支出152.56万元，占本年财政拨款支出4.81%；农林水支出2600.22万元，占本年财政拨款支出82.01%；住房保障支出137.29万元，占本年财政拨款支出4.33%</w:t>
      </w:r>
      <w:r>
        <w:rPr>
          <w:rFonts w:hint="eastAsia" w:ascii="仿宋_GB2312" w:eastAsia="仿宋_GB2312"/>
          <w:color w:val="auto"/>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社会保障和就业</w:t>
      </w:r>
      <w:r>
        <w:rPr>
          <w:rFonts w:hint="eastAsia" w:ascii="仿宋_GB2312" w:eastAsia="仿宋_GB2312"/>
          <w:sz w:val="28"/>
          <w:szCs w:val="28"/>
        </w:rPr>
        <w:t>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232.31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280.48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120.74</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232.31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280.48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120.74</w:t>
      </w:r>
      <w:r>
        <w:rPr>
          <w:rFonts w:hint="eastAsia" w:ascii="仿宋_GB2312" w:eastAsia="仿宋_GB2312"/>
          <w:sz w:val="28"/>
          <w:szCs w:val="28"/>
        </w:rPr>
        <w:t>%。主要原因：</w:t>
      </w:r>
      <w:r>
        <w:rPr>
          <w:rFonts w:hint="eastAsia" w:ascii="仿宋_GB2312" w:eastAsia="仿宋_GB2312"/>
          <w:sz w:val="28"/>
          <w:szCs w:val="28"/>
          <w:lang w:eastAsia="zh-CN"/>
        </w:rPr>
        <w:t>在职职工养老保险、职业年金调整缴纳基数、增加</w:t>
      </w:r>
      <w:r>
        <w:rPr>
          <w:rFonts w:hint="eastAsia" w:ascii="仿宋_GB2312" w:eastAsia="仿宋_GB2312"/>
          <w:sz w:val="28"/>
          <w:szCs w:val="28"/>
          <w:lang w:val="en-US" w:eastAsia="zh-CN"/>
        </w:rPr>
        <w:t>1名退休人员</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145.47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152.56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104.87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145.47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152.56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104.87</w:t>
      </w:r>
      <w:r>
        <w:rPr>
          <w:rFonts w:hint="eastAsia" w:ascii="仿宋_GB2312" w:eastAsia="仿宋_GB2312"/>
          <w:sz w:val="28"/>
          <w:szCs w:val="28"/>
        </w:rPr>
        <w:t>%。主要原因：</w:t>
      </w:r>
      <w:r>
        <w:rPr>
          <w:rFonts w:hint="eastAsia" w:ascii="仿宋_GB2312" w:eastAsia="仿宋_GB2312"/>
          <w:sz w:val="28"/>
          <w:szCs w:val="28"/>
          <w:lang w:eastAsia="zh-CN"/>
        </w:rPr>
        <w:t>在职职工医疗保险调整缴纳基数</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农林水支出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2482.23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2600.22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104.75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农业农村</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2482.23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2600.22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104.75</w:t>
      </w:r>
      <w:r>
        <w:rPr>
          <w:rFonts w:hint="eastAsia" w:ascii="仿宋_GB2312" w:eastAsia="仿宋_GB2312"/>
          <w:sz w:val="28"/>
          <w:szCs w:val="28"/>
        </w:rPr>
        <w:t>%。主要原因：</w:t>
      </w:r>
      <w:r>
        <w:rPr>
          <w:rFonts w:hint="eastAsia" w:ascii="仿宋_GB2312" w:eastAsia="仿宋_GB2312"/>
          <w:sz w:val="28"/>
          <w:szCs w:val="28"/>
          <w:lang w:eastAsia="zh-CN"/>
        </w:rPr>
        <w:t>中央、市级项目经费支出增加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137.29</w:t>
      </w:r>
      <w:r>
        <w:rPr>
          <w:rFonts w:hint="eastAsia" w:ascii="仿宋_GB2312" w:eastAsia="仿宋_GB2312"/>
          <w:sz w:val="28"/>
          <w:szCs w:val="28"/>
        </w:rPr>
        <w:t>万元。其中：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137.29</w:t>
      </w:r>
      <w:r>
        <w:rPr>
          <w:rFonts w:hint="eastAsia" w:ascii="仿宋_GB2312" w:eastAsia="仿宋_GB2312"/>
          <w:sz w:val="28"/>
          <w:szCs w:val="28"/>
        </w:rPr>
        <w:t>万元。主要原因：</w:t>
      </w:r>
      <w:r>
        <w:rPr>
          <w:rFonts w:hint="eastAsia" w:ascii="仿宋_GB2312" w:eastAsia="仿宋_GB2312"/>
          <w:sz w:val="28"/>
          <w:szCs w:val="28"/>
          <w:lang w:eastAsia="zh-CN"/>
        </w:rPr>
        <w:t>发放以前年度住房补贴</w:t>
      </w:r>
      <w:r>
        <w:rPr>
          <w:rFonts w:hint="eastAsia" w:ascii="仿宋_GB2312" w:eastAsia="仿宋_GB2312"/>
          <w:sz w:val="28"/>
          <w:szCs w:val="28"/>
        </w:rPr>
        <w:t>。</w:t>
      </w:r>
    </w:p>
    <w:p>
      <w:pPr>
        <w:numPr>
          <w:ilvl w:val="0"/>
          <w:numId w:val="1"/>
        </w:numPr>
        <w:spacing w:line="580" w:lineRule="exact"/>
        <w:ind w:firstLine="560" w:firstLineChars="200"/>
        <w:rPr>
          <w:rFonts w:hint="eastAsia" w:ascii="黑体" w:eastAsia="黑体"/>
          <w:b/>
          <w:sz w:val="28"/>
          <w:szCs w:val="28"/>
        </w:rPr>
      </w:pPr>
      <w:r>
        <w:rPr>
          <w:rFonts w:hint="eastAsia" w:ascii="黑体" w:eastAsia="黑体"/>
          <w:b/>
          <w:sz w:val="28"/>
          <w:szCs w:val="28"/>
        </w:rPr>
        <w:t>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年度使用一般公共预算财政拨款安排基本支出</w:t>
      </w:r>
      <w:r>
        <w:rPr>
          <w:rFonts w:ascii="仿宋_GB2312" w:eastAsia="仿宋_GB2312"/>
          <w:color w:val="auto"/>
          <w:sz w:val="28"/>
          <w:szCs w:val="28"/>
        </w:rPr>
        <w:t>1932.27</w:t>
      </w:r>
      <w:r>
        <w:rPr>
          <w:rFonts w:hint="eastAsia" w:ascii="仿宋_GB2312" w:eastAsia="仿宋_GB2312"/>
          <w:color w:val="auto"/>
          <w:sz w:val="28"/>
          <w:szCs w:val="28"/>
        </w:rPr>
        <w:t>万元，使用政府性基金财政拨款安排基本支出</w:t>
      </w:r>
      <w:r>
        <w:rPr>
          <w:rFonts w:ascii="仿宋_GB2312" w:eastAsia="仿宋_GB2312"/>
          <w:color w:val="auto"/>
          <w:sz w:val="28"/>
          <w:szCs w:val="28"/>
        </w:rPr>
        <w:t>0</w:t>
      </w:r>
      <w:r>
        <w:rPr>
          <w:rFonts w:hint="eastAsia" w:ascii="仿宋_GB2312" w:eastAsia="仿宋_GB2312"/>
          <w:color w:val="auto"/>
          <w:sz w:val="28"/>
          <w:szCs w:val="28"/>
        </w:rPr>
        <w:t>万元，（1）工资福利支出包括基本工资</w:t>
      </w:r>
      <w:r>
        <w:rPr>
          <w:rFonts w:ascii="仿宋_GB2312" w:eastAsia="仿宋_GB2312"/>
          <w:color w:val="auto"/>
          <w:sz w:val="28"/>
          <w:szCs w:val="28"/>
        </w:rPr>
        <w:t>、津贴补贴、绩效工资、</w:t>
      </w:r>
      <w:r>
        <w:rPr>
          <w:rFonts w:hint="eastAsia" w:ascii="仿宋_GB2312" w:eastAsia="仿宋_GB2312"/>
          <w:color w:val="auto"/>
          <w:sz w:val="28"/>
          <w:szCs w:val="28"/>
          <w:lang w:val="en-US" w:eastAsia="zh-CN"/>
        </w:rPr>
        <w:t>机关事业单位基本养老保险缴费、职业年金缴费、</w:t>
      </w:r>
      <w:r>
        <w:rPr>
          <w:rFonts w:hint="eastAsia" w:ascii="仿宋_GB2312" w:eastAsia="仿宋_GB2312"/>
          <w:color w:val="auto"/>
          <w:sz w:val="28"/>
          <w:szCs w:val="28"/>
        </w:rPr>
        <w:t>其他</w:t>
      </w:r>
      <w:r>
        <w:rPr>
          <w:rFonts w:ascii="仿宋_GB2312" w:eastAsia="仿宋_GB2312"/>
          <w:color w:val="auto"/>
          <w:sz w:val="28"/>
          <w:szCs w:val="28"/>
        </w:rPr>
        <w:t>社会保障缴费</w:t>
      </w: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住房公积金</w:t>
      </w:r>
      <w:r>
        <w:rPr>
          <w:rFonts w:hint="eastAsia" w:ascii="仿宋_GB2312" w:eastAsia="仿宋_GB2312"/>
          <w:color w:val="auto"/>
          <w:sz w:val="28"/>
          <w:szCs w:val="28"/>
        </w:rPr>
        <w:t>；（2）商品和服务支出包括</w:t>
      </w:r>
      <w:r>
        <w:rPr>
          <w:rFonts w:ascii="仿宋_GB2312" w:eastAsia="仿宋_GB2312"/>
          <w:color w:val="auto"/>
          <w:sz w:val="28"/>
          <w:szCs w:val="28"/>
        </w:rPr>
        <w:t>办公费、手续费、水费、电费、邮电费、取暖费、差旅费、维修（护）费、劳务费、工会经费、福利费、公务用车运行维护费、其他商品和服务</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；（3）对个人和家庭补助支出包括</w:t>
      </w:r>
      <w:r>
        <w:rPr>
          <w:rFonts w:ascii="仿宋_GB2312" w:eastAsia="仿宋_GB2312"/>
          <w:color w:val="auto"/>
          <w:sz w:val="28"/>
          <w:szCs w:val="28"/>
        </w:rPr>
        <w:t>退休费、奖励金</w:t>
      </w:r>
      <w:r>
        <w:rPr>
          <w:rFonts w:hint="eastAsia" w:ascii="仿宋_GB2312" w:eastAsia="仿宋_GB2312"/>
          <w:color w:val="auto"/>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color w:val="auto"/>
          <w:sz w:val="28"/>
          <w:szCs w:val="28"/>
        </w:rPr>
      </w:pPr>
      <w:r>
        <w:rPr>
          <w:rFonts w:hint="eastAsia" w:ascii="仿宋_GB2312" w:eastAsia="仿宋_GB2312"/>
          <w:color w:val="auto"/>
          <w:sz w:val="28"/>
          <w:szCs w:val="28"/>
          <w:lang w:eastAsia="zh-CN"/>
        </w:rPr>
        <w:t>2024</w:t>
      </w:r>
      <w:r>
        <w:rPr>
          <w:rFonts w:hint="eastAsia" w:ascii="仿宋_GB2312" w:eastAsia="仿宋_GB2312"/>
          <w:color w:val="auto"/>
          <w:sz w:val="28"/>
          <w:szCs w:val="28"/>
        </w:rPr>
        <w:t>年度“三公”经费财政拨款决算数</w:t>
      </w:r>
      <w:r>
        <w:rPr>
          <w:rFonts w:ascii="仿宋_GB2312" w:eastAsia="仿宋_GB2312"/>
          <w:color w:val="auto"/>
          <w:sz w:val="28"/>
          <w:szCs w:val="28"/>
        </w:rPr>
        <w:t>4.4</w:t>
      </w:r>
      <w:r>
        <w:rPr>
          <w:rFonts w:hint="eastAsia" w:ascii="仿宋_GB2312" w:eastAsia="仿宋_GB2312"/>
          <w:color w:val="auto"/>
          <w:sz w:val="28"/>
          <w:szCs w:val="28"/>
        </w:rPr>
        <w:t>万元，比</w:t>
      </w:r>
      <w:r>
        <w:rPr>
          <w:rFonts w:hint="eastAsia" w:ascii="仿宋_GB2312" w:eastAsia="仿宋_GB2312"/>
          <w:color w:val="auto"/>
          <w:sz w:val="28"/>
          <w:szCs w:val="28"/>
          <w:lang w:eastAsia="zh-CN"/>
        </w:rPr>
        <w:t>2024</w:t>
      </w:r>
      <w:r>
        <w:rPr>
          <w:rFonts w:hint="eastAsia" w:ascii="仿宋_GB2312" w:eastAsia="仿宋_GB2312"/>
          <w:color w:val="auto"/>
          <w:sz w:val="28"/>
          <w:szCs w:val="28"/>
        </w:rPr>
        <w:t>年度“三公”经费财政拨款年初预算</w:t>
      </w:r>
      <w:r>
        <w:rPr>
          <w:rFonts w:ascii="仿宋_GB2312" w:eastAsia="仿宋_GB2312"/>
          <w:color w:val="auto"/>
          <w:sz w:val="28"/>
          <w:szCs w:val="28"/>
        </w:rPr>
        <w:t>5.4</w:t>
      </w:r>
      <w:r>
        <w:rPr>
          <w:rFonts w:hint="eastAsia" w:ascii="仿宋_GB2312" w:eastAsia="仿宋_GB2312"/>
          <w:color w:val="auto"/>
          <w:sz w:val="28"/>
          <w:szCs w:val="28"/>
        </w:rPr>
        <w:t>万元</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万元。其中：</w:t>
      </w:r>
    </w:p>
    <w:p>
      <w:pPr>
        <w:spacing w:line="560" w:lineRule="exact"/>
        <w:ind w:firstLine="600"/>
        <w:rPr>
          <w:rFonts w:hint="eastAsia" w:ascii="仿宋_GB2312" w:eastAsia="仿宋_GB2312"/>
          <w:color w:val="auto"/>
          <w:sz w:val="28"/>
          <w:szCs w:val="28"/>
        </w:rPr>
      </w:pPr>
      <w:r>
        <w:rPr>
          <w:rFonts w:hint="eastAsia" w:ascii="仿宋_GB2312" w:eastAsia="仿宋_GB2312"/>
          <w:color w:val="auto"/>
          <w:sz w:val="28"/>
          <w:szCs w:val="28"/>
        </w:rPr>
        <w:t>1.因公出国（境）费用。202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万元增加</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万元。主要原因：</w:t>
      </w:r>
      <w:r>
        <w:rPr>
          <w:rFonts w:hint="eastAsia" w:ascii="仿宋_GB2312" w:eastAsia="仿宋_GB2312"/>
          <w:color w:val="auto"/>
          <w:sz w:val="28"/>
          <w:szCs w:val="28"/>
          <w:lang w:val="en-US" w:eastAsia="zh-CN"/>
        </w:rPr>
        <w:t>本单位2024年未发生因公出国（境）费用</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年度组织因公出国（境）团组</w:t>
      </w:r>
      <w:r>
        <w:rPr>
          <w:rFonts w:hint="eastAsia" w:ascii="仿宋_GB2312" w:eastAsia="仿宋_GB2312"/>
          <w:color w:val="auto"/>
          <w:sz w:val="28"/>
          <w:szCs w:val="28"/>
          <w:lang w:eastAsia="zh-CN"/>
        </w:rPr>
        <w:t>0</w:t>
      </w:r>
      <w:r>
        <w:rPr>
          <w:rFonts w:hint="eastAsia" w:ascii="仿宋_GB2312" w:eastAsia="仿宋_GB2312"/>
          <w:color w:val="auto"/>
          <w:sz w:val="28"/>
          <w:szCs w:val="28"/>
        </w:rPr>
        <w:t>个、</w:t>
      </w:r>
      <w:r>
        <w:rPr>
          <w:rFonts w:hint="eastAsia" w:ascii="仿宋_GB2312" w:eastAsia="仿宋_GB2312"/>
          <w:color w:val="auto"/>
          <w:sz w:val="28"/>
          <w:szCs w:val="28"/>
          <w:lang w:eastAsia="zh-CN"/>
        </w:rPr>
        <w:t>0</w:t>
      </w:r>
      <w:r>
        <w:rPr>
          <w:rFonts w:hint="eastAsia" w:ascii="仿宋_GB2312" w:eastAsia="仿宋_GB2312"/>
          <w:color w:val="auto"/>
          <w:sz w:val="28"/>
          <w:szCs w:val="28"/>
        </w:rPr>
        <w:t>人次。</w:t>
      </w:r>
    </w:p>
    <w:p>
      <w:pPr>
        <w:spacing w:line="560" w:lineRule="exact"/>
        <w:ind w:firstLine="600"/>
        <w:rPr>
          <w:rFonts w:hint="eastAsia" w:ascii="仿宋_GB2312" w:eastAsia="仿宋_GB2312"/>
          <w:color w:val="auto"/>
          <w:sz w:val="28"/>
          <w:szCs w:val="28"/>
        </w:rPr>
      </w:pPr>
      <w:r>
        <w:rPr>
          <w:rFonts w:hint="eastAsia" w:ascii="仿宋_GB2312" w:eastAsia="仿宋_GB2312"/>
          <w:color w:val="auto"/>
          <w:sz w:val="28"/>
          <w:szCs w:val="28"/>
        </w:rPr>
        <w:t>2.公务接待费。202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万元增加</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bookmarkStart w:id="0" w:name="_GoBack"/>
      <w:bookmarkEnd w:id="0"/>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本单位2024年未发生公务接待费用</w:t>
      </w:r>
      <w:r>
        <w:rPr>
          <w:rFonts w:hint="eastAsia" w:ascii="仿宋_GB2312" w:eastAsia="仿宋_GB2312"/>
          <w:color w:val="auto"/>
          <w:sz w:val="28"/>
          <w:szCs w:val="28"/>
        </w:rPr>
        <w:t>。公务接待</w:t>
      </w:r>
      <w:r>
        <w:rPr>
          <w:rFonts w:hint="eastAsia" w:ascii="仿宋_GB2312" w:eastAsia="仿宋_GB2312"/>
          <w:color w:val="auto"/>
          <w:sz w:val="28"/>
          <w:szCs w:val="28"/>
          <w:lang w:eastAsia="zh-CN"/>
        </w:rPr>
        <w:t>0</w:t>
      </w:r>
      <w:r>
        <w:rPr>
          <w:rFonts w:hint="eastAsia" w:ascii="仿宋_GB2312" w:eastAsia="仿宋_GB2312"/>
          <w:color w:val="auto"/>
          <w:sz w:val="28"/>
          <w:szCs w:val="28"/>
        </w:rPr>
        <w:t>批次，公务接待</w:t>
      </w:r>
      <w:r>
        <w:rPr>
          <w:rFonts w:hint="eastAsia" w:ascii="仿宋_GB2312" w:eastAsia="仿宋_GB2312"/>
          <w:color w:val="auto"/>
          <w:sz w:val="28"/>
          <w:szCs w:val="28"/>
          <w:lang w:eastAsia="zh-CN"/>
        </w:rPr>
        <w:t>0</w:t>
      </w:r>
      <w:r>
        <w:rPr>
          <w:rFonts w:hint="eastAsia" w:ascii="仿宋_GB2312" w:eastAsia="仿宋_GB2312"/>
          <w:color w:val="auto"/>
          <w:sz w:val="28"/>
          <w:szCs w:val="28"/>
        </w:rPr>
        <w:t>人次。</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3.公务用车购置及运行维护费。202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4.4</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5.4</w:t>
      </w:r>
      <w:r>
        <w:rPr>
          <w:rFonts w:hint="eastAsia" w:ascii="仿宋_GB2312" w:eastAsia="仿宋_GB2312"/>
          <w:color w:val="auto"/>
          <w:sz w:val="28"/>
          <w:szCs w:val="28"/>
        </w:rPr>
        <w:t>万元</w:t>
      </w:r>
      <w:r>
        <w:rPr>
          <w:rFonts w:hint="eastAsia" w:ascii="仿宋_GB2312" w:eastAsia="仿宋_GB2312"/>
          <w:color w:val="auto"/>
          <w:sz w:val="28"/>
          <w:szCs w:val="28"/>
          <w:lang w:eastAsia="zh-CN"/>
        </w:rPr>
        <w:t>减少</w:t>
      </w:r>
      <w:r>
        <w:rPr>
          <w:rFonts w:hint="eastAsia" w:ascii="仿宋_GB2312" w:eastAsia="仿宋_GB2312"/>
          <w:color w:val="auto"/>
          <w:sz w:val="28"/>
          <w:szCs w:val="28"/>
          <w:lang w:val="en-US" w:eastAsia="zh-CN"/>
        </w:rPr>
        <w:t>1</w:t>
      </w:r>
      <w:r>
        <w:rPr>
          <w:rFonts w:hint="eastAsia" w:ascii="仿宋_GB2312" w:eastAsia="仿宋_GB2312"/>
          <w:color w:val="auto"/>
          <w:sz w:val="28"/>
          <w:szCs w:val="28"/>
        </w:rPr>
        <w:t>万元。其中，公务用车购置费202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万元，主要原因：</w:t>
      </w:r>
      <w:r>
        <w:rPr>
          <w:rFonts w:hint="eastAsia" w:ascii="仿宋_GB2312" w:eastAsia="仿宋_GB2312"/>
          <w:color w:val="auto"/>
          <w:sz w:val="28"/>
          <w:szCs w:val="28"/>
          <w:lang w:val="en-US" w:eastAsia="zh-CN"/>
        </w:rPr>
        <w:t>本单位2024年未购置公务用车</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年度购置（更新）</w:t>
      </w:r>
      <w:r>
        <w:rPr>
          <w:rFonts w:hint="eastAsia" w:ascii="仿宋_GB2312" w:eastAsia="仿宋_GB2312"/>
          <w:color w:val="auto"/>
          <w:sz w:val="28"/>
          <w:szCs w:val="28"/>
          <w:lang w:eastAsia="zh-CN"/>
        </w:rPr>
        <w:t>0</w:t>
      </w:r>
      <w:r>
        <w:rPr>
          <w:rFonts w:hint="eastAsia" w:ascii="仿宋_GB2312" w:eastAsia="仿宋_GB2312"/>
          <w:color w:val="auto"/>
          <w:sz w:val="28"/>
          <w:szCs w:val="28"/>
        </w:rPr>
        <w:t>辆。公务用车运行维护费202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4.4</w:t>
      </w:r>
      <w:r>
        <w:rPr>
          <w:rFonts w:hint="eastAsia" w:ascii="仿宋_GB2312" w:eastAsia="仿宋_GB2312"/>
          <w:color w:val="auto"/>
          <w:sz w:val="28"/>
          <w:szCs w:val="28"/>
        </w:rPr>
        <w:t>万元，主要原因：</w:t>
      </w:r>
      <w:r>
        <w:rPr>
          <w:rFonts w:hint="eastAsia" w:ascii="仿宋_GB2312" w:eastAsia="仿宋_GB2312"/>
          <w:color w:val="auto"/>
          <w:sz w:val="28"/>
          <w:szCs w:val="28"/>
          <w:lang w:eastAsia="zh-CN"/>
        </w:rPr>
        <w:t>本单位全部车辆调拨至北京市大兴区机关事务管理服务中心统一管理</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年度公务用车保有量</w:t>
      </w:r>
      <w:r>
        <w:rPr>
          <w:rFonts w:ascii="仿宋_GB2312" w:eastAsia="仿宋_GB2312"/>
          <w:color w:val="auto"/>
          <w:sz w:val="28"/>
          <w:szCs w:val="28"/>
        </w:rPr>
        <w:t>5</w:t>
      </w:r>
      <w:r>
        <w:rPr>
          <w:rFonts w:hint="eastAsia" w:ascii="仿宋_GB2312" w:eastAsia="仿宋_GB2312"/>
          <w:color w:val="auto"/>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sz w:val="28"/>
          <w:szCs w:val="28"/>
        </w:rPr>
        <w:t>不在机关运行经费统计范围之内。</w:t>
      </w:r>
    </w:p>
    <w:p>
      <w:pPr>
        <w:ind w:left="540"/>
        <w:rPr>
          <w:rFonts w:hint="eastAsia" w:ascii="黑体" w:eastAsia="黑体"/>
          <w:color w:val="auto"/>
          <w:sz w:val="28"/>
          <w:szCs w:val="28"/>
        </w:rPr>
      </w:pPr>
      <w:r>
        <w:rPr>
          <w:rFonts w:hint="eastAsia" w:ascii="黑体" w:eastAsia="黑体"/>
          <w:color w:val="auto"/>
          <w:sz w:val="28"/>
          <w:szCs w:val="28"/>
        </w:rPr>
        <w:t>三、政府采购支出情况</w:t>
      </w:r>
    </w:p>
    <w:p>
      <w:pPr>
        <w:ind w:firstLine="537" w:firstLineChars="192"/>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年度政府采购支出总额</w:t>
      </w:r>
      <w:r>
        <w:rPr>
          <w:rFonts w:ascii="仿宋_GB2312" w:eastAsia="仿宋_GB2312"/>
          <w:color w:val="auto"/>
          <w:sz w:val="28"/>
          <w:szCs w:val="28"/>
        </w:rPr>
        <w:t>393.96</w:t>
      </w:r>
      <w:r>
        <w:rPr>
          <w:rFonts w:hint="eastAsia" w:ascii="仿宋_GB2312" w:eastAsia="仿宋_GB2312"/>
          <w:color w:val="auto"/>
          <w:sz w:val="28"/>
          <w:szCs w:val="28"/>
        </w:rPr>
        <w:t>万元，其中：政府采购货物支出</w:t>
      </w:r>
      <w:r>
        <w:rPr>
          <w:rFonts w:hint="eastAsia" w:ascii="仿宋_GB2312" w:eastAsia="仿宋_GB2312"/>
          <w:color w:val="auto"/>
          <w:sz w:val="28"/>
          <w:szCs w:val="28"/>
          <w:lang w:val="en-US" w:eastAsia="zh-CN"/>
        </w:rPr>
        <w:t>168.44</w:t>
      </w:r>
      <w:r>
        <w:rPr>
          <w:rFonts w:hint="eastAsia" w:ascii="仿宋_GB2312" w:eastAsia="仿宋_GB2312"/>
          <w:color w:val="auto"/>
          <w:sz w:val="28"/>
          <w:szCs w:val="28"/>
        </w:rPr>
        <w:t>万元，政府采购工程支出</w:t>
      </w:r>
      <w:r>
        <w:rPr>
          <w:rFonts w:hint="eastAsia" w:ascii="仿宋_GB2312" w:eastAsia="仿宋_GB2312"/>
          <w:color w:val="auto"/>
          <w:sz w:val="28"/>
          <w:szCs w:val="28"/>
          <w:lang w:val="en-US" w:eastAsia="zh-CN"/>
        </w:rPr>
        <w:t>91.10</w:t>
      </w:r>
      <w:r>
        <w:rPr>
          <w:rFonts w:hint="eastAsia" w:ascii="仿宋_GB2312" w:eastAsia="仿宋_GB2312"/>
          <w:color w:val="auto"/>
          <w:sz w:val="28"/>
          <w:szCs w:val="28"/>
        </w:rPr>
        <w:t>万元，政府采购服务支出</w:t>
      </w:r>
      <w:r>
        <w:rPr>
          <w:rFonts w:hint="eastAsia" w:ascii="仿宋_GB2312" w:eastAsia="仿宋_GB2312"/>
          <w:color w:val="auto"/>
          <w:sz w:val="28"/>
          <w:szCs w:val="28"/>
          <w:lang w:val="en-US" w:eastAsia="zh-CN"/>
        </w:rPr>
        <w:t>134.42</w:t>
      </w:r>
      <w:r>
        <w:rPr>
          <w:rFonts w:hint="eastAsia" w:ascii="仿宋_GB2312" w:eastAsia="仿宋_GB2312"/>
          <w:color w:val="auto"/>
          <w:sz w:val="28"/>
          <w:szCs w:val="28"/>
        </w:rPr>
        <w:t>万元。授予中小企业合同金额</w:t>
      </w:r>
      <w:r>
        <w:rPr>
          <w:rFonts w:ascii="仿宋_GB2312" w:eastAsia="仿宋_GB2312"/>
          <w:color w:val="auto"/>
          <w:sz w:val="28"/>
          <w:szCs w:val="28"/>
        </w:rPr>
        <w:t>344.08</w:t>
      </w:r>
      <w:r>
        <w:rPr>
          <w:rFonts w:hint="eastAsia" w:ascii="仿宋_GB2312" w:eastAsia="仿宋_GB2312"/>
          <w:color w:val="auto"/>
          <w:sz w:val="28"/>
          <w:szCs w:val="28"/>
        </w:rPr>
        <w:t>万元，占政府采购支出总额的</w:t>
      </w:r>
      <w:r>
        <w:rPr>
          <w:rFonts w:hint="eastAsia" w:ascii="仿宋_GB2312" w:eastAsia="仿宋_GB2312"/>
          <w:color w:val="auto"/>
          <w:sz w:val="28"/>
          <w:szCs w:val="28"/>
          <w:lang w:eastAsia="zh-CN"/>
        </w:rPr>
        <w:t>87.34</w:t>
      </w:r>
      <w:r>
        <w:rPr>
          <w:rFonts w:hint="eastAsia" w:ascii="仿宋_GB2312" w:eastAsia="仿宋_GB2312"/>
          <w:color w:val="auto"/>
          <w:sz w:val="28"/>
          <w:szCs w:val="28"/>
        </w:rPr>
        <w:t>%，其中：授予小微企业合同金额</w:t>
      </w:r>
      <w:r>
        <w:rPr>
          <w:rFonts w:ascii="仿宋_GB2312" w:eastAsia="仿宋_GB2312"/>
          <w:color w:val="auto"/>
          <w:sz w:val="28"/>
          <w:szCs w:val="28"/>
        </w:rPr>
        <w:t>344.08</w:t>
      </w:r>
      <w:r>
        <w:rPr>
          <w:rFonts w:hint="eastAsia" w:ascii="仿宋_GB2312" w:eastAsia="仿宋_GB2312"/>
          <w:color w:val="auto"/>
          <w:sz w:val="28"/>
          <w:szCs w:val="28"/>
        </w:rPr>
        <w:t>万元，占政府采购支出总额的</w:t>
      </w:r>
      <w:r>
        <w:rPr>
          <w:rFonts w:ascii="仿宋_GB2312" w:eastAsia="仿宋_GB2312"/>
          <w:color w:val="auto"/>
          <w:sz w:val="28"/>
          <w:szCs w:val="28"/>
        </w:rPr>
        <w:t>87.34</w:t>
      </w:r>
      <w:r>
        <w:rPr>
          <w:rFonts w:hint="eastAsia" w:ascii="仿宋_GB2312" w:eastAsia="仿宋_GB2312"/>
          <w:color w:val="auto"/>
          <w:sz w:val="28"/>
          <w:szCs w:val="28"/>
        </w:rPr>
        <w:t>%。</w:t>
      </w:r>
    </w:p>
    <w:p>
      <w:pPr>
        <w:ind w:firstLine="560" w:firstLineChars="200"/>
        <w:rPr>
          <w:rFonts w:hint="eastAsia" w:ascii="黑体" w:eastAsia="黑体"/>
          <w:color w:val="auto"/>
          <w:sz w:val="28"/>
          <w:szCs w:val="28"/>
          <w:highlight w:val="yellow"/>
        </w:rPr>
      </w:pPr>
      <w:r>
        <w:rPr>
          <w:rFonts w:hint="eastAsia" w:ascii="黑体" w:eastAsia="黑体"/>
          <w:color w:val="auto"/>
          <w:sz w:val="28"/>
          <w:szCs w:val="28"/>
          <w:highlight w:val="none"/>
        </w:rPr>
        <w:t>四、国有资产占用情况</w:t>
      </w:r>
    </w:p>
    <w:p>
      <w:pPr>
        <w:ind w:firstLine="560" w:firstLineChars="200"/>
        <w:rPr>
          <w:rFonts w:ascii="仿宋_GB2312" w:eastAsia="仿宋_GB2312"/>
          <w:color w:val="auto"/>
          <w:sz w:val="32"/>
          <w:szCs w:val="32"/>
        </w:rPr>
      </w:pPr>
      <w:r>
        <w:rPr>
          <w:rFonts w:hint="eastAsia" w:ascii="仿宋_GB2312" w:eastAsia="仿宋_GB2312"/>
          <w:color w:val="auto"/>
          <w:sz w:val="28"/>
          <w:szCs w:val="28"/>
          <w:lang w:eastAsia="zh-CN"/>
        </w:rPr>
        <w:t>截至</w:t>
      </w:r>
      <w:r>
        <w:rPr>
          <w:rFonts w:hint="eastAsia" w:ascii="仿宋_GB2312" w:eastAsia="仿宋_GB2312"/>
          <w:color w:val="auto"/>
          <w:sz w:val="28"/>
          <w:szCs w:val="28"/>
          <w:lang w:val="en-US" w:eastAsia="zh-CN"/>
        </w:rPr>
        <w:t>12月31日，北京市大兴区种植业技术推广站</w:t>
      </w:r>
      <w:r>
        <w:rPr>
          <w:rFonts w:hint="eastAsia" w:ascii="仿宋_GB2312" w:eastAsia="仿宋_GB2312"/>
          <w:color w:val="auto"/>
          <w:sz w:val="28"/>
          <w:szCs w:val="28"/>
          <w:lang w:eastAsia="zh-CN"/>
        </w:rPr>
        <w:t>共有</w:t>
      </w:r>
      <w:r>
        <w:rPr>
          <w:rFonts w:hint="eastAsia" w:ascii="仿宋_GB2312" w:eastAsia="仿宋_GB2312"/>
          <w:color w:val="auto"/>
          <w:sz w:val="28"/>
          <w:szCs w:val="28"/>
        </w:rPr>
        <w:t>车辆</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台；单位价值100万元</w:t>
      </w:r>
      <w:r>
        <w:rPr>
          <w:rFonts w:hint="eastAsia" w:ascii="仿宋_GB2312" w:eastAsia="仿宋_GB2312"/>
          <w:color w:val="auto"/>
          <w:sz w:val="28"/>
          <w:szCs w:val="28"/>
          <w:lang w:eastAsia="zh-CN"/>
        </w:rPr>
        <w:t>（含）</w:t>
      </w:r>
      <w:r>
        <w:rPr>
          <w:rFonts w:hint="eastAsia" w:ascii="仿宋_GB2312" w:eastAsia="仿宋_GB2312"/>
          <w:color w:val="auto"/>
          <w:sz w:val="28"/>
          <w:szCs w:val="28"/>
        </w:rPr>
        <w:t>以上的设备</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台（套）。</w:t>
      </w:r>
    </w:p>
    <w:p>
      <w:pPr>
        <w:ind w:firstLine="537" w:firstLineChars="192"/>
        <w:rPr>
          <w:rFonts w:ascii="黑体" w:eastAsia="黑体"/>
          <w:color w:val="auto"/>
          <w:sz w:val="28"/>
          <w:szCs w:val="28"/>
        </w:rPr>
      </w:pPr>
      <w:r>
        <w:rPr>
          <w:rFonts w:hint="eastAsia" w:ascii="黑体" w:eastAsia="黑体"/>
          <w:color w:val="auto"/>
          <w:sz w:val="28"/>
          <w:szCs w:val="28"/>
        </w:rPr>
        <w:t>五</w:t>
      </w:r>
      <w:r>
        <w:rPr>
          <w:rFonts w:ascii="黑体" w:eastAsia="黑体"/>
          <w:color w:val="auto"/>
          <w:sz w:val="28"/>
          <w:szCs w:val="28"/>
        </w:rPr>
        <w:t>、政府购买服务</w:t>
      </w:r>
      <w:r>
        <w:rPr>
          <w:rFonts w:hint="eastAsia" w:ascii="黑体" w:eastAsia="黑体"/>
          <w:color w:val="auto"/>
          <w:sz w:val="28"/>
          <w:szCs w:val="28"/>
        </w:rPr>
        <w:t>支出</w:t>
      </w:r>
      <w:r>
        <w:rPr>
          <w:rFonts w:ascii="黑体" w:eastAsia="黑体"/>
          <w:color w:val="auto"/>
          <w:sz w:val="28"/>
          <w:szCs w:val="28"/>
        </w:rPr>
        <w:t>说明</w:t>
      </w:r>
    </w:p>
    <w:p>
      <w:pPr>
        <w:ind w:firstLine="537" w:firstLineChars="192"/>
        <w:rPr>
          <w:rFonts w:hint="eastAsia" w:ascii="仿宋_GB2312" w:eastAsia="仿宋_GB2312"/>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w:t>
      </w:r>
      <w:r>
        <w:rPr>
          <w:rFonts w:ascii="仿宋_GB2312" w:eastAsia="仿宋_GB2312"/>
          <w:color w:val="auto"/>
          <w:sz w:val="28"/>
          <w:szCs w:val="28"/>
        </w:rPr>
        <w:t>政府购买服务决算0</w:t>
      </w:r>
      <w:r>
        <w:rPr>
          <w:rFonts w:hint="eastAsia" w:ascii="仿宋_GB2312" w:eastAsia="仿宋_GB2312"/>
          <w:color w:val="auto"/>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w:t>
      </w:r>
      <w:r>
        <w:rPr>
          <w:rFonts w:hint="eastAsia" w:ascii="仿宋_GB2312" w:eastAsia="仿宋_GB2312"/>
          <w:sz w:val="28"/>
          <w:szCs w:val="28"/>
        </w:rPr>
        <w:t>：反映</w:t>
      </w:r>
      <w:r>
        <w:rPr>
          <w:rFonts w:hint="eastAsia" w:ascii="仿宋_GB2312" w:eastAsia="仿宋_GB2312"/>
          <w:sz w:val="28"/>
          <w:szCs w:val="28"/>
          <w:lang w:eastAsia="zh-CN"/>
        </w:rPr>
        <w:t>机关事业单位实施养老保险制度由单位缴纳的基本养老保险费支出。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机关事业单位职业年金缴费支出（项）</w:t>
      </w:r>
      <w:r>
        <w:rPr>
          <w:rFonts w:hint="eastAsia" w:ascii="仿宋_GB2312" w:eastAsia="仿宋_GB2312"/>
          <w:sz w:val="28"/>
          <w:szCs w:val="28"/>
        </w:rPr>
        <w:t>：</w:t>
      </w:r>
      <w:r>
        <w:rPr>
          <w:rFonts w:hint="eastAsia" w:ascii="仿宋_GB2312" w:eastAsia="仿宋_GB2312"/>
          <w:sz w:val="28"/>
          <w:szCs w:val="28"/>
          <w:lang w:eastAsia="zh-CN"/>
        </w:rPr>
        <w:t>反映机关事业单位实施养老保险制度由单位实际缴纳的职业年金支出。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w:t>
      </w:r>
      <w:r>
        <w:rPr>
          <w:rFonts w:hint="eastAsia" w:ascii="仿宋_GB2312" w:eastAsia="仿宋_GB2312"/>
          <w:sz w:val="28"/>
          <w:szCs w:val="28"/>
        </w:rPr>
        <w:t>：</w:t>
      </w:r>
      <w:r>
        <w:rPr>
          <w:rFonts w:hint="eastAsia" w:ascii="仿宋_GB2312" w:eastAsia="仿宋_GB2312"/>
          <w:sz w:val="28"/>
          <w:szCs w:val="28"/>
          <w:lang w:eastAsia="zh-CN"/>
        </w:rPr>
        <w:t>反映事业单位开支的离退休经费。</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其他行政事业单位养老支出（项）</w:t>
      </w:r>
      <w:r>
        <w:rPr>
          <w:rFonts w:hint="eastAsia" w:ascii="仿宋_GB2312" w:eastAsia="仿宋_GB2312"/>
          <w:sz w:val="28"/>
          <w:szCs w:val="28"/>
        </w:rPr>
        <w:t>：</w:t>
      </w:r>
      <w:r>
        <w:rPr>
          <w:rFonts w:hint="eastAsia" w:ascii="仿宋_GB2312" w:eastAsia="仿宋_GB2312"/>
          <w:sz w:val="28"/>
          <w:szCs w:val="28"/>
          <w:lang w:eastAsia="zh-CN"/>
        </w:rPr>
        <w:t>反映除上述项目以外其他用于行政事业单位养老方面的支出。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12.卫生健康支出（类）行政事业单位医疗（款）公务员医疗补助（项）：反映财政部门安排的公务员医疗补助经费。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13.农林水支出（类）农业农村（款）事业运行（项）：反映用于农业事业单位基本支出，事业单位设施、系统运行与资产维护等方面的支出。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14.农林水支出（类）农业农村（款）科技转化与推广服务（项）：反映用于农业科技成果转化，农业科技人才奖励，农业新品种、新机具、新技术引进、试验、示范、推广及服务，农村人居环境整治等方面的技术试验示范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15.农林水支出（类）农业农村（款）农业生产发展（项）：反映用于耕地地力保护、适度规模经营、农机购置与应用补贴、优势特色主导产业发展、畜牧水产发展、农村一二三产业融合等方面的支出。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16.农林水支出（类）农业农村（款）农业资源保护修复与利用（项）：反映用于耕地质量保护、草原草场利用，渔业水域资源环境保护，农业品种改良提升，以及农业生物资源调研收集、鉴定评价、保存利用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17.农林水支出（类）农业农村（款）其他农业农村支出（项）：反映除上述项目以外其他用于农业农村方面的支出。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18.农林水支出（类）巩固脱贫攻坚成果衔接乡村振兴（款）其他巩固脱贫攻坚成果衔接乡村振兴支出（项）：反映除上述项目以外其他用于巩固拓展脱贫攻坚成果同乡村振兴有效衔接方面的支出。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19.住房保障支出（类）住房改革支出（款）购房补贴（项）：反映按房改政策规定，行政事业单位向符合条件职工（含离退休人员）、军队（含武警）向转役复员离退休人员发放的用于购买住房的补贴。</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rPr>
          <w:rFonts w:hint="eastAsia" w:ascii="黑体" w:eastAsia="黑体"/>
          <w:sz w:val="28"/>
          <w:szCs w:val="28"/>
          <w:highlight w:val="none"/>
          <w:lang w:eastAsia="zh-CN"/>
        </w:rPr>
      </w:pPr>
    </w:p>
    <w:p>
      <w:pPr>
        <w:numPr>
          <w:ilvl w:val="0"/>
          <w:numId w:val="0"/>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r>
        <w:rPr>
          <w:rFonts w:hint="eastAsia" w:ascii="黑体" w:eastAsia="黑体"/>
          <w:sz w:val="28"/>
          <w:szCs w:val="28"/>
          <w:highlight w:val="none"/>
          <w:lang w:val="en-US" w:eastAsia="zh-CN"/>
        </w:rPr>
        <w:t>2</w:t>
      </w:r>
      <w:r>
        <w:rPr>
          <w:rFonts w:hint="eastAsia" w:ascii="黑体" w:eastAsia="黑体"/>
          <w:sz w:val="28"/>
          <w:szCs w:val="28"/>
          <w:highlight w:val="none"/>
          <w:lang w:eastAsia="zh-CN"/>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44B9F"/>
    <w:multiLevelType w:val="singleLevel"/>
    <w:tmpl w:val="4E444B9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0YTRhNTg3Y2E5OTI5ZWY5ZDFiZGYzZDk5MjhkYzk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696"/>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2B0E5C"/>
    <w:rsid w:val="02443CCC"/>
    <w:rsid w:val="024F59B3"/>
    <w:rsid w:val="025A058B"/>
    <w:rsid w:val="026A3541"/>
    <w:rsid w:val="02AC1472"/>
    <w:rsid w:val="02F120AB"/>
    <w:rsid w:val="032B5196"/>
    <w:rsid w:val="038D52D6"/>
    <w:rsid w:val="04C3537C"/>
    <w:rsid w:val="05491C52"/>
    <w:rsid w:val="079004AC"/>
    <w:rsid w:val="082A4613"/>
    <w:rsid w:val="08C332B3"/>
    <w:rsid w:val="091D1E4B"/>
    <w:rsid w:val="09497E1A"/>
    <w:rsid w:val="09AD5F1B"/>
    <w:rsid w:val="09DB1ADE"/>
    <w:rsid w:val="0A714554"/>
    <w:rsid w:val="0A8D143B"/>
    <w:rsid w:val="0BA148CA"/>
    <w:rsid w:val="0BA37CB5"/>
    <w:rsid w:val="0C1165C4"/>
    <w:rsid w:val="0C2F0F3E"/>
    <w:rsid w:val="0CDB347F"/>
    <w:rsid w:val="0D6D544B"/>
    <w:rsid w:val="0DBB6C57"/>
    <w:rsid w:val="0DD136FE"/>
    <w:rsid w:val="0F542F2C"/>
    <w:rsid w:val="0F8E2C57"/>
    <w:rsid w:val="0F9C5147"/>
    <w:rsid w:val="0FA15F5A"/>
    <w:rsid w:val="0FD40CB5"/>
    <w:rsid w:val="1059665E"/>
    <w:rsid w:val="10AC13BA"/>
    <w:rsid w:val="11732BDE"/>
    <w:rsid w:val="12AD7673"/>
    <w:rsid w:val="133A6838"/>
    <w:rsid w:val="145A6C1B"/>
    <w:rsid w:val="14B73493"/>
    <w:rsid w:val="151E5632"/>
    <w:rsid w:val="167A2FF9"/>
    <w:rsid w:val="16930926"/>
    <w:rsid w:val="16C209EB"/>
    <w:rsid w:val="1764587C"/>
    <w:rsid w:val="18581C69"/>
    <w:rsid w:val="18866995"/>
    <w:rsid w:val="194F0D39"/>
    <w:rsid w:val="1A7D4463"/>
    <w:rsid w:val="1AC217DA"/>
    <w:rsid w:val="1AEC0734"/>
    <w:rsid w:val="1B9F7CA6"/>
    <w:rsid w:val="1C536CCC"/>
    <w:rsid w:val="1D190F59"/>
    <w:rsid w:val="1DEF20B0"/>
    <w:rsid w:val="1E1203B7"/>
    <w:rsid w:val="1EAE09F3"/>
    <w:rsid w:val="1F023384"/>
    <w:rsid w:val="1F87195F"/>
    <w:rsid w:val="1FF7AB17"/>
    <w:rsid w:val="214243FA"/>
    <w:rsid w:val="21AD613C"/>
    <w:rsid w:val="22467189"/>
    <w:rsid w:val="22B541CA"/>
    <w:rsid w:val="23E1206E"/>
    <w:rsid w:val="24293F47"/>
    <w:rsid w:val="257A14F5"/>
    <w:rsid w:val="25982593"/>
    <w:rsid w:val="26DA14C3"/>
    <w:rsid w:val="26F533E6"/>
    <w:rsid w:val="27196C26"/>
    <w:rsid w:val="27632E51"/>
    <w:rsid w:val="29531BA3"/>
    <w:rsid w:val="29EF086F"/>
    <w:rsid w:val="29F83AC7"/>
    <w:rsid w:val="2BC34C59"/>
    <w:rsid w:val="2EFFE297"/>
    <w:rsid w:val="2F316B28"/>
    <w:rsid w:val="2F6377F4"/>
    <w:rsid w:val="2FA44E29"/>
    <w:rsid w:val="2FCD23DC"/>
    <w:rsid w:val="301437CA"/>
    <w:rsid w:val="30594760"/>
    <w:rsid w:val="310A33FE"/>
    <w:rsid w:val="31A81E84"/>
    <w:rsid w:val="32047CD0"/>
    <w:rsid w:val="320C1861"/>
    <w:rsid w:val="33381756"/>
    <w:rsid w:val="341F49C5"/>
    <w:rsid w:val="349D1F0A"/>
    <w:rsid w:val="34DD0473"/>
    <w:rsid w:val="358636D8"/>
    <w:rsid w:val="35905FBD"/>
    <w:rsid w:val="35C85E29"/>
    <w:rsid w:val="391D7CE3"/>
    <w:rsid w:val="3A8E35DC"/>
    <w:rsid w:val="3B81506E"/>
    <w:rsid w:val="3C684897"/>
    <w:rsid w:val="3CF83123"/>
    <w:rsid w:val="3ED358B7"/>
    <w:rsid w:val="3F2B709E"/>
    <w:rsid w:val="3F6A515E"/>
    <w:rsid w:val="3F95597A"/>
    <w:rsid w:val="402673FA"/>
    <w:rsid w:val="40A86BF9"/>
    <w:rsid w:val="40F97454"/>
    <w:rsid w:val="42C4214F"/>
    <w:rsid w:val="433E495C"/>
    <w:rsid w:val="441E380D"/>
    <w:rsid w:val="44DA4CE9"/>
    <w:rsid w:val="45645A2E"/>
    <w:rsid w:val="46195EA3"/>
    <w:rsid w:val="47330D34"/>
    <w:rsid w:val="47574ED5"/>
    <w:rsid w:val="475E5EB4"/>
    <w:rsid w:val="47D06768"/>
    <w:rsid w:val="489F2FD7"/>
    <w:rsid w:val="49C600F0"/>
    <w:rsid w:val="4A301A0D"/>
    <w:rsid w:val="4AC15BFF"/>
    <w:rsid w:val="4AC27CB3"/>
    <w:rsid w:val="4B55797D"/>
    <w:rsid w:val="4B8D5369"/>
    <w:rsid w:val="4BF72BEF"/>
    <w:rsid w:val="4C0445F7"/>
    <w:rsid w:val="4CC55A24"/>
    <w:rsid w:val="4DAC584E"/>
    <w:rsid w:val="4FA90297"/>
    <w:rsid w:val="4FC41A43"/>
    <w:rsid w:val="500B2F03"/>
    <w:rsid w:val="51DB3C59"/>
    <w:rsid w:val="52B56FA2"/>
    <w:rsid w:val="53BB47AC"/>
    <w:rsid w:val="550C0952"/>
    <w:rsid w:val="55762E42"/>
    <w:rsid w:val="5592209E"/>
    <w:rsid w:val="56200E44"/>
    <w:rsid w:val="56E41E1F"/>
    <w:rsid w:val="57A7B272"/>
    <w:rsid w:val="57B10631"/>
    <w:rsid w:val="57B36157"/>
    <w:rsid w:val="58263593"/>
    <w:rsid w:val="58470068"/>
    <w:rsid w:val="58545E21"/>
    <w:rsid w:val="58747CAC"/>
    <w:rsid w:val="58A12453"/>
    <w:rsid w:val="590D0C35"/>
    <w:rsid w:val="595A66E3"/>
    <w:rsid w:val="5A1720F9"/>
    <w:rsid w:val="5A5206B3"/>
    <w:rsid w:val="5A7B2F06"/>
    <w:rsid w:val="5B9C37C2"/>
    <w:rsid w:val="5BA7C654"/>
    <w:rsid w:val="5BB91E9C"/>
    <w:rsid w:val="5CE030EA"/>
    <w:rsid w:val="5D6912FC"/>
    <w:rsid w:val="5DF716AE"/>
    <w:rsid w:val="5ED729C8"/>
    <w:rsid w:val="5F9F507E"/>
    <w:rsid w:val="5FAB4E64"/>
    <w:rsid w:val="602F2FC2"/>
    <w:rsid w:val="603B3D23"/>
    <w:rsid w:val="60A54109"/>
    <w:rsid w:val="61D01CDF"/>
    <w:rsid w:val="622A069B"/>
    <w:rsid w:val="63354861"/>
    <w:rsid w:val="637D586B"/>
    <w:rsid w:val="63DC07E4"/>
    <w:rsid w:val="6433641B"/>
    <w:rsid w:val="64C0607C"/>
    <w:rsid w:val="65756C86"/>
    <w:rsid w:val="65BD34A8"/>
    <w:rsid w:val="65C50D53"/>
    <w:rsid w:val="662F5CA4"/>
    <w:rsid w:val="674D385B"/>
    <w:rsid w:val="676F09E1"/>
    <w:rsid w:val="68C17DBF"/>
    <w:rsid w:val="690F6590"/>
    <w:rsid w:val="69236EB5"/>
    <w:rsid w:val="69C4091A"/>
    <w:rsid w:val="6ACD6762"/>
    <w:rsid w:val="6AD733EA"/>
    <w:rsid w:val="6D5000B9"/>
    <w:rsid w:val="6ECC25B4"/>
    <w:rsid w:val="70BE43E5"/>
    <w:rsid w:val="71691990"/>
    <w:rsid w:val="71793A80"/>
    <w:rsid w:val="719E357C"/>
    <w:rsid w:val="72202F79"/>
    <w:rsid w:val="72387A32"/>
    <w:rsid w:val="7357290B"/>
    <w:rsid w:val="756E3DEA"/>
    <w:rsid w:val="76FB1693"/>
    <w:rsid w:val="77C47AB5"/>
    <w:rsid w:val="781E098B"/>
    <w:rsid w:val="798524E4"/>
    <w:rsid w:val="7A7F1C49"/>
    <w:rsid w:val="7B131518"/>
    <w:rsid w:val="7B326896"/>
    <w:rsid w:val="7B5B7AE6"/>
    <w:rsid w:val="7B7B6628"/>
    <w:rsid w:val="7BA7071E"/>
    <w:rsid w:val="7BDF6DA8"/>
    <w:rsid w:val="7C7EDC1A"/>
    <w:rsid w:val="7CCED98D"/>
    <w:rsid w:val="7D08410F"/>
    <w:rsid w:val="7DB96DED"/>
    <w:rsid w:val="7DD3AD81"/>
    <w:rsid w:val="7DD81BC4"/>
    <w:rsid w:val="7DFFF77E"/>
    <w:rsid w:val="7EB16342"/>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2">
    <w:name w:val="heading 3"/>
    <w:basedOn w:val="1"/>
    <w:next w:val="1"/>
    <w:unhideWhenUsed/>
    <w:qFormat/>
    <w:uiPriority w:val="9"/>
    <w:pPr>
      <w:spacing w:before="100" w:beforeAutospacing="1" w:after="100" w:afterAutospacing="1"/>
      <w:jc w:val="left"/>
    </w:pPr>
    <w:rPr>
      <w:rFonts w:hint="eastAsia" w:ascii="宋体" w:hAnsi="宋体" w:eastAsia="宋体" w:cs="宋体"/>
      <w:b/>
      <w:kern w:val="0"/>
      <w:sz w:val="27"/>
      <w:szCs w:val="27"/>
      <w:lang w:val="en-US" w:eastAsia="zh-CN"/>
    </w:rPr>
  </w:style>
  <w:style w:type="character" w:default="1" w:styleId="12">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3033.26</c:v>
                </c:pt>
                <c:pt idx="1">
                  <c:v>0</c:v>
                </c:pt>
                <c:pt idx="2">
                  <c:v>0</c:v>
                </c:pt>
                <c:pt idx="3">
                  <c:v>0</c:v>
                </c:pt>
                <c:pt idx="4">
                  <c:v>0</c:v>
                </c:pt>
                <c:pt idx="5">
                  <c:v>105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1932.27</c:v>
                </c:pt>
                <c:pt idx="1">
                  <c:v>1290.53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46</TotalTime>
  <ScaleCrop>false</ScaleCrop>
  <LinksUpToDate>false</LinksUpToDate>
  <CharactersWithSpaces>298</CharactersWithSpaces>
  <Application>WPS Office_11.1.0.8838_F1E327BC-269C-435d-A152-05C5408002CA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2025-09-22T08:34:46Z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2052-11.1.0.8838</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