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numPr>
          <w:ilvl w:val="0"/>
          <w:numId w:val="1"/>
        </w:numPr>
        <w:tabs>
          <w:tab w:val="center" w:pos="6979"/>
        </w:tabs>
        <w:spacing w:line="580" w:lineRule="exact"/>
        <w:rPr>
          <w:rFonts w:hint="eastAsia" w:ascii="黑体" w:eastAsia="黑体"/>
          <w:b/>
          <w:sz w:val="28"/>
          <w:szCs w:val="28"/>
        </w:rPr>
      </w:pPr>
      <w:r>
        <w:rPr>
          <w:rFonts w:hint="eastAsia" w:ascii="黑体" w:eastAsia="黑体"/>
          <w:b/>
          <w:sz w:val="28"/>
          <w:szCs w:val="28"/>
        </w:rPr>
        <w:t>单位基本情况</w:t>
      </w:r>
    </w:p>
    <w:p>
      <w:pPr>
        <w:numPr>
          <w:ilvl w:val="0"/>
          <w:numId w:val="0"/>
        </w:numPr>
        <w:tabs>
          <w:tab w:val="center" w:pos="6979"/>
        </w:tabs>
        <w:spacing w:line="580" w:lineRule="exact"/>
        <w:rPr>
          <w:rFonts w:hint="eastAsia" w:ascii="仿宋_GB2312" w:eastAsia="仿宋_GB2312"/>
          <w:kern w:val="0"/>
          <w:sz w:val="28"/>
          <w:szCs w:val="28"/>
        </w:rPr>
      </w:pPr>
      <w:r>
        <w:rPr>
          <w:rFonts w:hint="eastAsia" w:ascii="仿宋_GB2312" w:eastAsia="仿宋_GB2312"/>
          <w:kern w:val="0"/>
          <w:sz w:val="28"/>
          <w:szCs w:val="28"/>
          <w:lang w:val="en-US" w:eastAsia="zh-CN"/>
        </w:rPr>
        <w:t xml:space="preserve">    </w:t>
      </w:r>
      <w:r>
        <w:rPr>
          <w:rFonts w:hint="eastAsia" w:ascii="仿宋_GB2312" w:eastAsia="仿宋_GB2312"/>
          <w:kern w:val="0"/>
          <w:sz w:val="28"/>
          <w:szCs w:val="28"/>
        </w:rPr>
        <w:t>（一）</w:t>
      </w:r>
      <w:r>
        <w:rPr>
          <w:rFonts w:hint="eastAsia" w:ascii="仿宋_GB2312" w:eastAsia="仿宋_GB2312"/>
          <w:kern w:val="0"/>
          <w:sz w:val="28"/>
          <w:szCs w:val="28"/>
          <w:lang w:eastAsia="zh-CN"/>
        </w:rPr>
        <w:t>本单位职责</w:t>
      </w:r>
      <w:r>
        <w:rPr>
          <w:rFonts w:hint="eastAsia" w:ascii="仿宋_GB2312" w:eastAsia="仿宋_GB2312"/>
          <w:kern w:val="0"/>
          <w:sz w:val="28"/>
          <w:szCs w:val="28"/>
        </w:rPr>
        <w:t>。</w:t>
      </w:r>
    </w:p>
    <w:p>
      <w:pPr>
        <w:tabs>
          <w:tab w:val="center" w:pos="6979"/>
        </w:tabs>
        <w:spacing w:line="580" w:lineRule="exact"/>
        <w:ind w:firstLine="560" w:firstLineChars="200"/>
        <w:rPr>
          <w:rFonts w:hint="eastAsia" w:ascii="仿宋_GB2312" w:eastAsia="仿宋_GB2312"/>
          <w:kern w:val="0"/>
          <w:sz w:val="28"/>
          <w:szCs w:val="28"/>
          <w:lang w:eastAsia="zh-CN"/>
        </w:rPr>
      </w:pPr>
      <w:r>
        <w:rPr>
          <w:rFonts w:hint="eastAsia" w:ascii="仿宋_GB2312" w:eastAsia="仿宋_GB2312"/>
          <w:kern w:val="0"/>
          <w:sz w:val="28"/>
          <w:szCs w:val="28"/>
          <w:lang w:val="en-US" w:eastAsia="zh-CN"/>
        </w:rPr>
        <w:t xml:space="preserve">   1、</w:t>
      </w:r>
      <w:r>
        <w:rPr>
          <w:rFonts w:hint="eastAsia" w:ascii="仿宋_GB2312" w:eastAsia="仿宋_GB2312"/>
          <w:kern w:val="0"/>
          <w:sz w:val="28"/>
          <w:szCs w:val="28"/>
        </w:rPr>
        <w:t xml:space="preserve">贯彻落实国家及北京市关于住房和城乡建设的法律、法规、规章和政策；研究本区住房和城乡建设方面的重大问题，并提出意见建议。 </w:t>
      </w:r>
    </w:p>
    <w:p>
      <w:pPr>
        <w:tabs>
          <w:tab w:val="center" w:pos="6979"/>
        </w:tabs>
        <w:spacing w:line="580" w:lineRule="exact"/>
        <w:ind w:firstLine="560" w:firstLineChars="200"/>
        <w:rPr>
          <w:rFonts w:hint="eastAsia" w:ascii="仿宋_GB2312" w:eastAsia="仿宋_GB2312"/>
          <w:kern w:val="0"/>
          <w:sz w:val="28"/>
          <w:szCs w:val="28"/>
          <w:lang w:eastAsia="zh-CN"/>
        </w:rPr>
      </w:pPr>
      <w:r>
        <w:rPr>
          <w:rFonts w:hint="eastAsia" w:ascii="仿宋_GB2312" w:eastAsia="仿宋_GB2312"/>
          <w:kern w:val="0"/>
          <w:sz w:val="28"/>
          <w:szCs w:val="28"/>
          <w:lang w:val="en-US" w:eastAsia="zh-CN"/>
        </w:rPr>
        <w:t xml:space="preserve">   2、</w:t>
      </w:r>
      <w:r>
        <w:rPr>
          <w:rFonts w:hint="eastAsia" w:ascii="仿宋_GB2312" w:eastAsia="仿宋_GB2312"/>
          <w:kern w:val="0"/>
          <w:sz w:val="28"/>
          <w:szCs w:val="28"/>
        </w:rPr>
        <w:t xml:space="preserve">承担保障本区城镇低收入家庭住房的责任。建立和完善住房保障管理制度；研究拟订住房保障、危旧房改造的中长期规划、年度计划和措施，并组织实施。 </w:t>
      </w:r>
    </w:p>
    <w:p>
      <w:pPr>
        <w:tabs>
          <w:tab w:val="center" w:pos="6979"/>
        </w:tabs>
        <w:spacing w:line="58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lang w:val="en-US" w:eastAsia="zh-CN"/>
        </w:rPr>
        <w:t xml:space="preserve">   3、</w:t>
      </w:r>
      <w:r>
        <w:rPr>
          <w:rFonts w:hint="eastAsia" w:ascii="仿宋_GB2312" w:eastAsia="仿宋_GB2312"/>
          <w:kern w:val="0"/>
          <w:sz w:val="28"/>
          <w:szCs w:val="28"/>
        </w:rPr>
        <w:t xml:space="preserve">承担推进本区住房制度改革的责任。研究拟订本区住房制度改革的相关意见，并组织实施；负责本区直管公房经营管理体制改革；负责公有住房出售、集资合作建房、住房分配货币化的管理工作。 </w:t>
      </w:r>
    </w:p>
    <w:p>
      <w:pPr>
        <w:tabs>
          <w:tab w:val="center" w:pos="6979"/>
        </w:tabs>
        <w:spacing w:line="58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lang w:val="en-US" w:eastAsia="zh-CN"/>
        </w:rPr>
        <w:t xml:space="preserve">   4、</w:t>
      </w:r>
      <w:r>
        <w:rPr>
          <w:rFonts w:hint="eastAsia" w:ascii="仿宋_GB2312" w:eastAsia="仿宋_GB2312"/>
          <w:kern w:val="0"/>
          <w:sz w:val="28"/>
          <w:szCs w:val="28"/>
        </w:rPr>
        <w:t>负责本区工程建设管理工作。按照市区两级职责分工，承担本区建设工程质量和施工安全监管的责任；依法进行建设工程施工许可管理；依法对本区注册建设工程的质量和施工安全进行监督管理；负责本区建设工程竣工验收的备案和监督管理；负责对工地现场建筑机械与起重设备实行登记管理；负责建设工程招标投标监督管理；参与重大建设工程质量、施工安全事故调查处理。</w:t>
      </w:r>
    </w:p>
    <w:p>
      <w:pPr>
        <w:tabs>
          <w:tab w:val="center" w:pos="6979"/>
        </w:tabs>
        <w:spacing w:line="58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lang w:val="en-US" w:eastAsia="zh-CN"/>
        </w:rPr>
        <w:t xml:space="preserve">   5、</w:t>
      </w:r>
      <w:r>
        <w:rPr>
          <w:rFonts w:hint="eastAsia" w:ascii="仿宋_GB2312" w:eastAsia="仿宋_GB2312"/>
          <w:kern w:val="0"/>
          <w:sz w:val="28"/>
          <w:szCs w:val="28"/>
        </w:rPr>
        <w:t xml:space="preserve">负责建筑业的行业管理。研究拟定本区建筑业发展规划，并指导实施；承担本区建筑市场监督管理、规范市场秩序、推动建筑行业发展的责任；负责对本区建筑行业企业进行资质初审工作；负责建筑企业各类人员职业资格管理及执业注册管理。 </w:t>
      </w:r>
    </w:p>
    <w:p>
      <w:pPr>
        <w:tabs>
          <w:tab w:val="center" w:pos="6979"/>
        </w:tabs>
        <w:spacing w:line="580" w:lineRule="exact"/>
        <w:ind w:firstLine="560" w:firstLineChars="200"/>
        <w:rPr>
          <w:rFonts w:hint="eastAsia" w:ascii="仿宋_GB2312" w:eastAsia="仿宋_GB2312"/>
          <w:kern w:val="0"/>
          <w:sz w:val="28"/>
          <w:szCs w:val="28"/>
          <w:lang w:eastAsia="zh-CN"/>
        </w:rPr>
      </w:pPr>
      <w:r>
        <w:rPr>
          <w:rFonts w:hint="eastAsia" w:ascii="仿宋_GB2312" w:eastAsia="仿宋_GB2312"/>
          <w:kern w:val="0"/>
          <w:sz w:val="28"/>
          <w:szCs w:val="28"/>
          <w:lang w:val="en-US" w:eastAsia="zh-CN"/>
        </w:rPr>
        <w:t xml:space="preserve">   6、</w:t>
      </w:r>
      <w:r>
        <w:rPr>
          <w:rFonts w:hint="eastAsia" w:ascii="仿宋_GB2312" w:eastAsia="仿宋_GB2312"/>
          <w:kern w:val="0"/>
          <w:sz w:val="28"/>
          <w:szCs w:val="28"/>
        </w:rPr>
        <w:t xml:space="preserve">承担指导规范本区村镇建设的责任。参与村镇工程建设相关工作的指导和技术服务；参与指导农村危房改造工作。 </w:t>
      </w:r>
    </w:p>
    <w:p>
      <w:pPr>
        <w:tabs>
          <w:tab w:val="center" w:pos="6979"/>
        </w:tabs>
        <w:spacing w:line="580" w:lineRule="exact"/>
        <w:ind w:firstLine="560" w:firstLineChars="200"/>
        <w:rPr>
          <w:rFonts w:hint="eastAsia" w:ascii="仿宋_GB2312" w:eastAsia="仿宋_GB2312"/>
          <w:kern w:val="0"/>
          <w:sz w:val="28"/>
          <w:szCs w:val="28"/>
          <w:lang w:eastAsia="zh-CN"/>
        </w:rPr>
      </w:pPr>
      <w:r>
        <w:rPr>
          <w:rFonts w:hint="eastAsia" w:ascii="仿宋_GB2312" w:eastAsia="仿宋_GB2312"/>
          <w:kern w:val="0"/>
          <w:sz w:val="28"/>
          <w:szCs w:val="28"/>
          <w:lang w:val="en-US" w:eastAsia="zh-CN"/>
        </w:rPr>
        <w:t xml:space="preserve">   7、</w:t>
      </w:r>
      <w:r>
        <w:rPr>
          <w:rFonts w:hint="eastAsia" w:ascii="仿宋_GB2312" w:eastAsia="仿宋_GB2312"/>
          <w:kern w:val="0"/>
          <w:sz w:val="28"/>
          <w:szCs w:val="28"/>
        </w:rPr>
        <w:t xml:space="preserve">承担本区建筑节能和建材行业管理的责任。负责建筑节能、墙体材料革新和散装水泥推广和管理工作；负责本区建筑行业新技术新材料的推广应用工作。 </w:t>
      </w:r>
    </w:p>
    <w:p>
      <w:pPr>
        <w:tabs>
          <w:tab w:val="center" w:pos="6979"/>
        </w:tabs>
        <w:spacing w:line="580" w:lineRule="exact"/>
        <w:ind w:firstLine="560" w:firstLineChars="200"/>
        <w:rPr>
          <w:rFonts w:hint="eastAsia" w:ascii="仿宋_GB2312" w:eastAsia="仿宋_GB2312"/>
          <w:kern w:val="0"/>
          <w:sz w:val="28"/>
          <w:szCs w:val="28"/>
          <w:lang w:eastAsia="zh-CN"/>
        </w:rPr>
      </w:pPr>
      <w:r>
        <w:rPr>
          <w:rFonts w:hint="eastAsia" w:ascii="仿宋_GB2312" w:eastAsia="仿宋_GB2312"/>
          <w:kern w:val="0"/>
          <w:sz w:val="28"/>
          <w:szCs w:val="28"/>
          <w:lang w:val="en-US" w:eastAsia="zh-CN"/>
        </w:rPr>
        <w:t xml:space="preserve">   8、</w:t>
      </w:r>
      <w:r>
        <w:rPr>
          <w:rFonts w:hint="eastAsia" w:ascii="仿宋_GB2312" w:eastAsia="仿宋_GB2312"/>
          <w:kern w:val="0"/>
          <w:sz w:val="28"/>
          <w:szCs w:val="28"/>
        </w:rPr>
        <w:t xml:space="preserve">承担本区房地产市场相关事项的监督管理、规范市场秩序、促进房地产业发展的责任。会同相关部门拟订本区房地产开发业的发展规划，并指导实施；负责房地产开发企业资质管理；负责新设立房地产企业的资质审批；指导小城镇建设发展规划工作；负责房地产开发、转让、房屋租赁市场及房地产中介服务的监督管理；负责房地产市场监测分析工作；会同相关部门做好本区危旧房改造工程及住宅小区综合验收工作。 </w:t>
      </w:r>
    </w:p>
    <w:p>
      <w:pPr>
        <w:tabs>
          <w:tab w:val="center" w:pos="6979"/>
        </w:tabs>
        <w:spacing w:line="580" w:lineRule="exact"/>
        <w:ind w:firstLine="560" w:firstLineChars="200"/>
        <w:rPr>
          <w:rFonts w:hint="eastAsia" w:ascii="仿宋_GB2312" w:eastAsia="仿宋_GB2312"/>
          <w:kern w:val="0"/>
          <w:sz w:val="28"/>
          <w:szCs w:val="28"/>
          <w:lang w:eastAsia="zh-CN"/>
        </w:rPr>
      </w:pPr>
      <w:r>
        <w:rPr>
          <w:rFonts w:hint="eastAsia" w:ascii="仿宋_GB2312" w:eastAsia="仿宋_GB2312"/>
          <w:kern w:val="0"/>
          <w:sz w:val="28"/>
          <w:szCs w:val="28"/>
          <w:lang w:val="en-US" w:eastAsia="zh-CN"/>
        </w:rPr>
        <w:t xml:space="preserve">   9、</w:t>
      </w:r>
      <w:r>
        <w:rPr>
          <w:rFonts w:hint="eastAsia" w:ascii="仿宋_GB2312" w:eastAsia="仿宋_GB2312"/>
          <w:kern w:val="0"/>
          <w:sz w:val="28"/>
          <w:szCs w:val="28"/>
        </w:rPr>
        <w:t xml:space="preserve">承担本区房屋管理的责任。负责房屋征收拆迁的管理工作；负责房屋登记管理；负责物业服务的监督管理；负责本区城镇房屋使用安全的管理；负责房屋档案的管理和相关信息网络系统建设工作；协调有关房屋防汛工作；督促、协调落实私房政策。 </w:t>
      </w:r>
    </w:p>
    <w:p>
      <w:pPr>
        <w:tabs>
          <w:tab w:val="center" w:pos="6979"/>
        </w:tabs>
        <w:spacing w:line="580" w:lineRule="exact"/>
        <w:ind w:firstLine="560" w:firstLineChars="200"/>
        <w:rPr>
          <w:rFonts w:hint="eastAsia" w:ascii="仿宋_GB2312" w:eastAsia="仿宋_GB2312"/>
          <w:kern w:val="0"/>
          <w:sz w:val="28"/>
          <w:szCs w:val="28"/>
          <w:lang w:eastAsia="zh-CN"/>
        </w:rPr>
      </w:pPr>
      <w:r>
        <w:rPr>
          <w:rFonts w:hint="eastAsia" w:ascii="仿宋_GB2312" w:eastAsia="仿宋_GB2312"/>
          <w:kern w:val="0"/>
          <w:sz w:val="28"/>
          <w:szCs w:val="28"/>
          <w:lang w:val="en-US" w:eastAsia="zh-CN"/>
        </w:rPr>
        <w:t xml:space="preserve">   10、</w:t>
      </w:r>
      <w:r>
        <w:rPr>
          <w:rFonts w:hint="eastAsia" w:ascii="仿宋_GB2312" w:eastAsia="仿宋_GB2312"/>
          <w:kern w:val="0"/>
          <w:sz w:val="28"/>
          <w:szCs w:val="28"/>
        </w:rPr>
        <w:t xml:space="preserve">负责重大建设项目的协调和监督管理工作。负责组织协调各类重大项目的有关前期工作；协调解决重大项目建设过程中出现的重大问题，负责项目业主及参建各方的服务工作。 </w:t>
      </w:r>
    </w:p>
    <w:p>
      <w:pPr>
        <w:tabs>
          <w:tab w:val="center" w:pos="6979"/>
        </w:tabs>
        <w:spacing w:line="58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lang w:val="en-US" w:eastAsia="zh-CN"/>
        </w:rPr>
        <w:t xml:space="preserve">   11、</w:t>
      </w:r>
      <w:r>
        <w:rPr>
          <w:rFonts w:hint="eastAsia" w:ascii="仿宋_GB2312" w:eastAsia="仿宋_GB2312"/>
          <w:kern w:val="0"/>
          <w:sz w:val="28"/>
          <w:szCs w:val="28"/>
        </w:rPr>
        <w:t>承办区政府交办的其它工作。</w:t>
      </w:r>
    </w:p>
    <w:p>
      <w:pPr>
        <w:tabs>
          <w:tab w:val="center" w:pos="6979"/>
        </w:tabs>
        <w:spacing w:line="580" w:lineRule="exact"/>
        <w:rPr>
          <w:rFonts w:hint="eastAsia" w:ascii="仿宋_GB2312" w:eastAsia="仿宋_GB2312"/>
          <w:kern w:val="0"/>
          <w:sz w:val="28"/>
          <w:szCs w:val="28"/>
        </w:rPr>
      </w:pPr>
      <w:r>
        <w:rPr>
          <w:rFonts w:hint="eastAsia" w:ascii="仿宋_GB2312" w:eastAsia="仿宋_GB2312"/>
          <w:kern w:val="0"/>
          <w:sz w:val="28"/>
          <w:szCs w:val="28"/>
          <w:lang w:val="en-US" w:eastAsia="zh-CN"/>
        </w:rPr>
        <w:t xml:space="preserve">    </w:t>
      </w:r>
      <w:r>
        <w:rPr>
          <w:rFonts w:hint="eastAsia" w:ascii="仿宋_GB2312" w:eastAsia="仿宋_GB2312"/>
          <w:kern w:val="0"/>
          <w:sz w:val="28"/>
          <w:szCs w:val="28"/>
          <w:lang w:eastAsia="zh-CN"/>
        </w:rPr>
        <w:t>（二）</w:t>
      </w:r>
      <w:r>
        <w:rPr>
          <w:rFonts w:hint="eastAsia" w:ascii="仿宋_GB2312" w:eastAsia="仿宋_GB2312"/>
          <w:kern w:val="0"/>
          <w:sz w:val="28"/>
          <w:szCs w:val="28"/>
        </w:rPr>
        <w:t>机构设置情况。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kern w:val="0"/>
          <w:sz w:val="28"/>
          <w:szCs w:val="28"/>
          <w:lang w:val="en-US" w:eastAsia="zh-CN"/>
        </w:rPr>
        <w:t xml:space="preserve">  本单位</w:t>
      </w:r>
      <w:r>
        <w:rPr>
          <w:rFonts w:hint="eastAsia" w:ascii="仿宋_GB2312" w:eastAsia="仿宋_GB2312"/>
          <w:kern w:val="0"/>
          <w:sz w:val="28"/>
          <w:szCs w:val="28"/>
        </w:rPr>
        <w:t>目前有行政科室13个，行政科室：行政办公室，房地产开发管理科（挂区小城镇建设管理办公室、区房地产业管理办公室牌子），工程建设与建筑市场管理科（挂区重大项目建设指挥部办公室牌子），物业管理科，住房保障科（挂房改科牌子），房屋市场管理科，房屋租赁管理科，房屋征收拆迁管理科，政工科，财务科，法制科、工程质量和施工安全管理科（加挂安全生产科牌子），内部审计科。</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330071.67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536955.87</w:t>
      </w:r>
      <w:r>
        <w:rPr>
          <w:rFonts w:hint="eastAsia" w:ascii="仿宋_GB2312" w:eastAsia="仿宋_GB2312"/>
          <w:sz w:val="28"/>
          <w:szCs w:val="28"/>
        </w:rPr>
        <w:t>万元，下降</w:t>
      </w:r>
      <w:r>
        <w:rPr>
          <w:rFonts w:hint="eastAsia" w:ascii="仿宋_GB2312" w:eastAsia="仿宋_GB2312"/>
          <w:sz w:val="28"/>
          <w:szCs w:val="28"/>
          <w:lang w:val="en-US" w:eastAsia="zh-CN"/>
        </w:rPr>
        <w:t>61.93</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326737.43</w:t>
      </w:r>
      <w:r>
        <w:rPr>
          <w:rFonts w:hint="eastAsia" w:ascii="仿宋_GB2312" w:eastAsia="仿宋_GB2312"/>
          <w:sz w:val="28"/>
          <w:szCs w:val="28"/>
        </w:rPr>
        <w:t>万元，</w:t>
      </w:r>
      <w:r>
        <w:rPr>
          <w:rFonts w:ascii="仿宋_GB2312" w:eastAsia="仿宋_GB2312"/>
          <w:sz w:val="28"/>
          <w:szCs w:val="28"/>
        </w:rPr>
        <w:t>比</w:t>
      </w:r>
      <w:r>
        <w:rPr>
          <w:rFonts w:hint="eastAsia" w:ascii="仿宋_GB2312" w:eastAsia="仿宋_GB2312"/>
          <w:sz w:val="28"/>
          <w:szCs w:val="28"/>
          <w:lang w:eastAsia="zh-CN"/>
        </w:rPr>
        <w:t>上年</w:t>
      </w:r>
      <w:r>
        <w:rPr>
          <w:rFonts w:hint="eastAsia" w:ascii="仿宋_GB2312" w:eastAsia="仿宋_GB2312"/>
          <w:sz w:val="28"/>
          <w:szCs w:val="28"/>
        </w:rPr>
        <w:t>减少</w:t>
      </w:r>
      <w:r>
        <w:rPr>
          <w:rFonts w:hint="eastAsia" w:ascii="仿宋_GB2312" w:eastAsia="仿宋_GB2312"/>
          <w:sz w:val="28"/>
          <w:szCs w:val="28"/>
          <w:lang w:val="en-US" w:eastAsia="zh-CN"/>
        </w:rPr>
        <w:t>537455.20</w:t>
      </w:r>
      <w:r>
        <w:rPr>
          <w:rFonts w:hint="eastAsia" w:ascii="仿宋_GB2312" w:eastAsia="仿宋_GB2312"/>
          <w:sz w:val="28"/>
          <w:szCs w:val="28"/>
        </w:rPr>
        <w:t>万元，下降</w:t>
      </w:r>
      <w:r>
        <w:rPr>
          <w:rFonts w:hint="eastAsia" w:ascii="仿宋_GB2312" w:eastAsia="仿宋_GB2312"/>
          <w:sz w:val="28"/>
          <w:szCs w:val="28"/>
          <w:lang w:val="en-US" w:eastAsia="zh-CN"/>
        </w:rPr>
        <w:t>62.19</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326728.63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hint="eastAsia" w:ascii="仿宋_GB2312" w:eastAsia="仿宋_GB2312"/>
          <w:sz w:val="28"/>
          <w:szCs w:val="28"/>
          <w:lang w:val="en-US" w:eastAsia="zh-CN"/>
        </w:rPr>
        <w:t>11811.09</w:t>
      </w:r>
      <w:r>
        <w:rPr>
          <w:rFonts w:hint="eastAsia" w:ascii="仿宋_GB2312" w:eastAsia="仿宋_GB2312"/>
          <w:sz w:val="28"/>
          <w:szCs w:val="28"/>
        </w:rPr>
        <w:t>万元，占收入合计的</w:t>
      </w:r>
      <w:r>
        <w:rPr>
          <w:rFonts w:hint="eastAsia" w:ascii="仿宋_GB2312" w:eastAsia="仿宋_GB2312"/>
          <w:sz w:val="28"/>
          <w:szCs w:val="28"/>
          <w:lang w:val="en-US" w:eastAsia="zh-CN"/>
        </w:rPr>
        <w:t>3.61</w:t>
      </w:r>
      <w:r>
        <w:rPr>
          <w:rFonts w:hint="eastAsia" w:ascii="仿宋_GB2312" w:eastAsia="仿宋_GB2312"/>
          <w:sz w:val="28"/>
          <w:szCs w:val="28"/>
        </w:rPr>
        <w:t>%；政府性基金预算财政拨款收入314917.53万元，占收入合计的</w:t>
      </w:r>
      <w:r>
        <w:rPr>
          <w:rFonts w:hint="eastAsia" w:ascii="仿宋_GB2312" w:eastAsia="仿宋_GB2312"/>
          <w:sz w:val="28"/>
          <w:szCs w:val="28"/>
          <w:lang w:val="en-US" w:eastAsia="zh-CN"/>
        </w:rPr>
        <w:t>96.38</w:t>
      </w:r>
      <w:r>
        <w:rPr>
          <w:rFonts w:hint="eastAsia" w:ascii="仿宋_GB2312" w:eastAsia="仿宋_GB2312"/>
          <w:sz w:val="28"/>
          <w:szCs w:val="28"/>
        </w:rPr>
        <w:t>%；国有资本经营预算财政拨款收入</w:t>
      </w:r>
      <w:r>
        <w:rPr>
          <w:rFonts w:hint="eastAsia" w:ascii="仿宋_GB2312" w:eastAsia="仿宋_GB2312"/>
          <w:sz w:val="28"/>
          <w:szCs w:val="28"/>
          <w:lang w:val="en-US" w:eastAsia="zh-CN"/>
        </w:rPr>
        <w:t>0.00</w:t>
      </w:r>
      <w:r>
        <w:rPr>
          <w:rFonts w:hint="eastAsia" w:ascii="仿宋_GB2312" w:eastAsia="仿宋_GB2312"/>
          <w:sz w:val="28"/>
          <w:szCs w:val="28"/>
        </w:rPr>
        <w:t>万元，占收入合计的</w:t>
      </w:r>
      <w:r>
        <w:rPr>
          <w:rFonts w:hint="eastAsia" w:ascii="仿宋_GB2312" w:eastAsia="仿宋_GB2312"/>
          <w:sz w:val="28"/>
          <w:szCs w:val="28"/>
          <w:lang w:val="en-US" w:eastAsia="zh-CN"/>
        </w:rPr>
        <w:t>0.00</w:t>
      </w:r>
      <w:r>
        <w:rPr>
          <w:rFonts w:hint="eastAsia" w:ascii="仿宋_GB2312" w:eastAsia="仿宋_GB2312"/>
          <w:sz w:val="28"/>
          <w:szCs w:val="28"/>
        </w:rPr>
        <w:t>%</w:t>
      </w:r>
      <w:r>
        <w:rPr>
          <w:rFonts w:hint="eastAsia" w:ascii="仿宋_GB2312" w:eastAsia="仿宋_GB2312"/>
          <w:sz w:val="28"/>
          <w:szCs w:val="28"/>
          <w:lang w:val="en-US"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万元，占收入合计的</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万元，占收入合计的</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万元，占收入合计的</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万元，占收入合计的</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8.8</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lang w:val="en-US" w:eastAsia="zh-CN"/>
        </w:rPr>
        <w:t>.01</w:t>
      </w:r>
      <w:r>
        <w:rPr>
          <w:rFonts w:hint="eastAsia" w:ascii="仿宋_GB2312" w:eastAsia="仿宋_GB2312"/>
          <w:sz w:val="28"/>
          <w:szCs w:val="28"/>
          <w:highlight w:val="none"/>
        </w:rPr>
        <w:t>%。</w:t>
      </w:r>
    </w:p>
    <w:p>
      <w:pPr>
        <w:pStyle w:val="2"/>
        <w:ind w:firstLine="0"/>
        <w:jc w:val="center"/>
        <w:rPr>
          <w:rFonts w:hint="eastAsia" w:ascii="仿宋_GB2312" w:eastAsia="仿宋_GB2312"/>
          <w:color w:val="000000"/>
          <w:sz w:val="32"/>
          <w:szCs w:val="32"/>
          <w:highlight w:val="none"/>
          <w:lang w:val="en-US" w:eastAsia="zh-CN"/>
        </w:rPr>
      </w:pPr>
      <w:r>
        <w:rPr>
          <w:rFonts w:hint="eastAsia" w:ascii="仿宋_GB2312" w:hAnsi="Cambria" w:eastAsia="仿宋_GB2312" w:cs="Times New Roman"/>
          <w:b/>
          <w:bCs/>
          <w:color w:val="000000"/>
          <w:kern w:val="0"/>
          <w:sz w:val="32"/>
          <w:szCs w:val="32"/>
          <w:lang w:val="en-US" w:eastAsia="zh-CN" w:bidi="ar-SA"/>
        </w:rPr>
        <w:drawing>
          <wp:anchor distT="0" distB="0" distL="114300" distR="114300" simplePos="0" relativeHeight="251658240" behindDoc="0" locked="0" layoutInCell="1" allowOverlap="1">
            <wp:simplePos x="0" y="0"/>
            <wp:positionH relativeFrom="column">
              <wp:posOffset>2308860</wp:posOffset>
            </wp:positionH>
            <wp:positionV relativeFrom="paragraph">
              <wp:posOffset>407035</wp:posOffset>
            </wp:positionV>
            <wp:extent cx="4572000" cy="1713865"/>
            <wp:effectExtent l="4445" t="4445" r="10795" b="19050"/>
            <wp:wrapNone/>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eastAsia="仿宋_GB2312"/>
          <w:color w:val="000000"/>
          <w:sz w:val="32"/>
          <w:szCs w:val="32"/>
          <w:highlight w:val="none"/>
          <w:lang w:val="en-US" w:eastAsia="zh-CN"/>
        </w:rPr>
        <w:t>图1：收入决算</w:t>
      </w:r>
    </w:p>
    <w:p>
      <w:pPr>
        <w:rPr>
          <w:rFonts w:hint="eastAsia" w:ascii="仿宋_GB2312" w:eastAsia="仿宋_GB2312"/>
          <w:color w:val="000000"/>
          <w:sz w:val="32"/>
          <w:szCs w:val="32"/>
          <w:highlight w:val="none"/>
          <w:lang w:val="en-US" w:eastAsia="zh-CN"/>
        </w:rPr>
      </w:pPr>
    </w:p>
    <w:p>
      <w:pPr/>
    </w:p>
    <w:p>
      <w:pPr>
        <w:pStyle w:val="3"/>
        <w:ind w:firstLine="420"/>
        <w:jc w:val="center"/>
      </w:pPr>
    </w:p>
    <w:p>
      <w:pPr>
        <w:pStyle w:val="2"/>
        <w:rPr>
          <w:rFonts w:hint="eastAsia"/>
        </w:rPr>
      </w:pP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330064.27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536963.27</w:t>
      </w:r>
      <w:r>
        <w:rPr>
          <w:rFonts w:hint="eastAsia" w:ascii="仿宋_GB2312" w:eastAsia="仿宋_GB2312"/>
          <w:sz w:val="28"/>
          <w:szCs w:val="28"/>
        </w:rPr>
        <w:t>万元，下降</w:t>
      </w:r>
      <w:r>
        <w:rPr>
          <w:rFonts w:hint="eastAsia" w:ascii="仿宋_GB2312" w:eastAsia="仿宋_GB2312"/>
          <w:sz w:val="28"/>
          <w:szCs w:val="28"/>
          <w:lang w:val="en-US" w:eastAsia="zh-CN"/>
        </w:rPr>
        <w:t>61.93</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10104.64</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3.06</w:t>
      </w:r>
      <w:r>
        <w:rPr>
          <w:rFonts w:hint="eastAsia" w:ascii="仿宋_GB2312" w:eastAsia="仿宋_GB2312"/>
          <w:sz w:val="28"/>
          <w:szCs w:val="28"/>
          <w:highlight w:val="none"/>
        </w:rPr>
        <w:t>%；项目支出</w:t>
      </w:r>
      <w:r>
        <w:rPr>
          <w:rFonts w:ascii="仿宋_GB2312" w:eastAsia="仿宋_GB2312"/>
          <w:sz w:val="28"/>
          <w:szCs w:val="28"/>
          <w:highlight w:val="none"/>
        </w:rPr>
        <w:t>319959.63</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96.94</w:t>
      </w:r>
      <w:r>
        <w:rPr>
          <w:rFonts w:hint="eastAsia" w:ascii="仿宋_GB2312" w:eastAsia="仿宋_GB2312"/>
          <w:sz w:val="28"/>
          <w:szCs w:val="28"/>
          <w:highlight w:val="none"/>
        </w:rPr>
        <w:t>%;上缴上级支出</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%；经营支出</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%；对附属单位补助支出</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w:t>
      </w:r>
      <w:r>
        <w:rPr>
          <w:rFonts w:hint="eastAsia" w:ascii="仿宋_GB2312" w:eastAsia="仿宋_GB2312"/>
          <w:sz w:val="28"/>
          <w:szCs w:val="28"/>
        </w:rPr>
        <w:t>。</w:t>
      </w:r>
    </w:p>
    <w:p>
      <w:pPr>
        <w:pStyle w:val="2"/>
        <w:ind w:firstLine="642"/>
        <w:jc w:val="center"/>
        <w:rPr>
          <w:rFonts w:ascii="仿宋_GB2312" w:eastAsia="仿宋_GB2312"/>
          <w:color w:val="000000"/>
          <w:sz w:val="32"/>
        </w:rPr>
      </w:pPr>
      <w:r>
        <w:drawing>
          <wp:anchor distT="0" distB="0" distL="114300" distR="114300" simplePos="0" relativeHeight="251660288" behindDoc="0" locked="0" layoutInCell="1" allowOverlap="1">
            <wp:simplePos x="0" y="0"/>
            <wp:positionH relativeFrom="column">
              <wp:posOffset>3108960</wp:posOffset>
            </wp:positionH>
            <wp:positionV relativeFrom="paragraph">
              <wp:posOffset>594995</wp:posOffset>
            </wp:positionV>
            <wp:extent cx="3218180" cy="1669415"/>
            <wp:effectExtent l="4445" t="4445" r="8255" b="17780"/>
            <wp:wrapNone/>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_GB2312" w:eastAsia="仿宋_GB2312"/>
          <w:color w:val="000000"/>
          <w:sz w:val="32"/>
        </w:rPr>
        <w:t>图2：基本支出和项目支出情况</w:t>
      </w:r>
    </w:p>
    <w:p>
      <w:pPr>
        <w:jc w:val="center"/>
        <w:rPr>
          <w:rFonts w:ascii="黑体" w:eastAsia="黑体"/>
          <w:b/>
          <w:sz w:val="28"/>
          <w:szCs w:val="28"/>
        </w:rPr>
      </w:pPr>
    </w:p>
    <w:p>
      <w:pPr>
        <w:pStyle w:val="2"/>
      </w:pPr>
    </w:p>
    <w:p>
      <w:pPr>
        <w:jc w:val="center"/>
        <w:rPr>
          <w:rFonts w:ascii="黑体" w:eastAsia="黑体"/>
          <w:b/>
          <w:sz w:val="28"/>
          <w:szCs w:val="28"/>
        </w:rPr>
      </w:pP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330062.87</w:t>
      </w:r>
      <w:r>
        <w:rPr>
          <w:rFonts w:hint="eastAsia" w:ascii="仿宋_GB2312" w:eastAsia="仿宋_GB2312"/>
          <w:sz w:val="28"/>
          <w:szCs w:val="28"/>
        </w:rPr>
        <w:t>万元，比上年减少</w:t>
      </w:r>
      <w:r>
        <w:rPr>
          <w:rFonts w:hint="eastAsia" w:ascii="仿宋_GB2312" w:eastAsia="仿宋_GB2312"/>
          <w:sz w:val="28"/>
          <w:szCs w:val="28"/>
          <w:lang w:val="en-US" w:eastAsia="zh-CN"/>
        </w:rPr>
        <w:t>536378.28</w:t>
      </w:r>
      <w:r>
        <w:rPr>
          <w:rFonts w:hint="eastAsia" w:ascii="仿宋_GB2312" w:eastAsia="仿宋_GB2312"/>
          <w:sz w:val="28"/>
          <w:szCs w:val="28"/>
        </w:rPr>
        <w:t>万元，下降</w:t>
      </w:r>
      <w:r>
        <w:rPr>
          <w:rFonts w:hint="eastAsia" w:ascii="仿宋_GB2312" w:eastAsia="仿宋_GB2312"/>
          <w:sz w:val="28"/>
          <w:szCs w:val="28"/>
          <w:lang w:val="en-US" w:eastAsia="zh-CN"/>
        </w:rPr>
        <w:t>61.91</w:t>
      </w:r>
      <w:r>
        <w:rPr>
          <w:rFonts w:hint="eastAsia" w:ascii="仿宋_GB2312" w:eastAsia="仿宋_GB2312"/>
          <w:sz w:val="28"/>
          <w:szCs w:val="28"/>
        </w:rPr>
        <w:t>%。主要原因：</w:t>
      </w:r>
      <w:r>
        <w:rPr>
          <w:rFonts w:hint="eastAsia" w:ascii="仿宋_GB2312" w:eastAsia="仿宋_GB2312"/>
          <w:sz w:val="28"/>
          <w:szCs w:val="28"/>
          <w:lang w:eastAsia="zh-CN"/>
        </w:rPr>
        <w:t>项目类资金减少</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12697.33</w:t>
      </w:r>
      <w:r>
        <w:rPr>
          <w:rFonts w:hint="eastAsia" w:ascii="仿宋_GB2312" w:eastAsia="仿宋_GB2312"/>
          <w:sz w:val="28"/>
          <w:szCs w:val="28"/>
        </w:rPr>
        <w:t>万元，主要用于以下方面：教育支出1.41万元，占本年财政拨款支出</w:t>
      </w:r>
      <w:r>
        <w:rPr>
          <w:rFonts w:hint="eastAsia" w:ascii="仿宋_GB2312" w:eastAsia="仿宋_GB2312"/>
          <w:sz w:val="28"/>
          <w:szCs w:val="28"/>
          <w:lang w:val="en-US" w:eastAsia="zh-CN"/>
        </w:rPr>
        <w:t>0.00</w:t>
      </w:r>
      <w:r>
        <w:rPr>
          <w:rFonts w:hint="eastAsia" w:ascii="仿宋_GB2312" w:eastAsia="仿宋_GB2312"/>
          <w:sz w:val="28"/>
          <w:szCs w:val="28"/>
        </w:rPr>
        <w:t>%；社会保障和就业支出1833.89</w:t>
      </w:r>
      <w:r>
        <w:rPr>
          <w:rFonts w:hint="eastAsia" w:ascii="仿宋_GB2312" w:eastAsia="仿宋_GB2312"/>
          <w:sz w:val="28"/>
          <w:szCs w:val="28"/>
          <w:lang w:eastAsia="zh-CN"/>
        </w:rPr>
        <w:t>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0.55</w:t>
      </w:r>
      <w:r>
        <w:rPr>
          <w:rFonts w:hint="eastAsia" w:ascii="仿宋_GB2312" w:eastAsia="仿宋_GB2312"/>
          <w:sz w:val="28"/>
          <w:szCs w:val="28"/>
        </w:rPr>
        <w:t>%</w:t>
      </w:r>
      <w:r>
        <w:rPr>
          <w:rFonts w:hint="eastAsia" w:ascii="仿宋_GB2312" w:eastAsia="仿宋_GB2312"/>
          <w:sz w:val="28"/>
          <w:szCs w:val="28"/>
          <w:lang w:eastAsia="zh-CN"/>
        </w:rPr>
        <w:t>；卫生健康支出764.64万元，占本年财政拨款支出</w:t>
      </w:r>
      <w:r>
        <w:rPr>
          <w:rFonts w:hint="eastAsia" w:ascii="仿宋_GB2312" w:eastAsia="仿宋_GB2312"/>
          <w:sz w:val="28"/>
          <w:szCs w:val="28"/>
          <w:lang w:val="en-US" w:eastAsia="zh-CN"/>
        </w:rPr>
        <w:t>0.23%；节能环保支出600.00万元，占本年财政拨款支出0.18%；城乡社区支出7624.26万元，占本年财政拨款支出2.31%；住房保障支出1873.12万元，占本年财政拨款支出0.57%</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highlight w:val="none"/>
        </w:rPr>
        <w:t>“教育支出”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2.00</w:t>
      </w:r>
      <w:r>
        <w:rPr>
          <w:rFonts w:hint="eastAsia" w:ascii="仿宋_GB2312" w:eastAsia="仿宋_GB2312"/>
          <w:sz w:val="28"/>
          <w:szCs w:val="28"/>
        </w:rPr>
        <w:t>万元，</w:t>
      </w:r>
      <w:r>
        <w:rPr>
          <w:rFonts w:hint="eastAsia" w:ascii="仿宋_GB2312" w:eastAsia="仿宋_GB2312"/>
          <w:sz w:val="28"/>
          <w:szCs w:val="28"/>
          <w:highlight w:val="none"/>
        </w:rPr>
        <w:t>2024年度决算1.41万元</w:t>
      </w:r>
      <w:r>
        <w:rPr>
          <w:rFonts w:hint="eastAsia" w:ascii="仿宋_GB2312" w:eastAsia="仿宋_GB2312"/>
          <w:sz w:val="28"/>
          <w:szCs w:val="28"/>
        </w:rPr>
        <w:t>，</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70.50</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default" w:ascii="仿宋_GB2312" w:eastAsia="仿宋_GB2312"/>
          <w:sz w:val="28"/>
          <w:szCs w:val="28"/>
          <w:highlight w:val="none"/>
          <w:lang w:val="en-US" w:eastAsia="zh-CN"/>
        </w:rPr>
        <w:t>“</w:t>
      </w:r>
      <w:r>
        <w:rPr>
          <w:rFonts w:hint="eastAsia" w:ascii="仿宋_GB2312" w:eastAsia="仿宋_GB2312"/>
          <w:sz w:val="28"/>
          <w:szCs w:val="28"/>
          <w:highlight w:val="none"/>
          <w:lang w:val="en-US" w:eastAsia="zh-CN"/>
        </w:rPr>
        <w:t>进修及培训</w:t>
      </w:r>
      <w:r>
        <w:rPr>
          <w:rFonts w:hint="default" w:ascii="仿宋_GB2312" w:eastAsia="仿宋_GB2312"/>
          <w:sz w:val="28"/>
          <w:szCs w:val="28"/>
          <w:highlight w:val="none"/>
          <w:lang w:val="en-US" w:eastAsia="zh-CN"/>
        </w:rPr>
        <w:t>”</w:t>
      </w:r>
      <w:r>
        <w:rPr>
          <w:rFonts w:hint="eastAsia" w:ascii="仿宋_GB2312" w:eastAsia="仿宋_GB2312"/>
          <w:sz w:val="28"/>
          <w:szCs w:val="28"/>
          <w:highlight w:val="none"/>
          <w:lang w:val="en-US" w:eastAsia="zh-CN"/>
        </w:rPr>
        <w:t>2024</w:t>
      </w:r>
      <w:r>
        <w:rPr>
          <w:rFonts w:hint="eastAsia" w:ascii="仿宋_GB2312" w:eastAsia="仿宋_GB2312"/>
          <w:sz w:val="28"/>
          <w:szCs w:val="28"/>
          <w:highlight w:val="none"/>
        </w:rPr>
        <w:t>年度年</w:t>
      </w:r>
      <w:r>
        <w:rPr>
          <w:rFonts w:hint="eastAsia" w:ascii="仿宋_GB2312" w:eastAsia="仿宋_GB2312"/>
          <w:sz w:val="28"/>
          <w:szCs w:val="28"/>
        </w:rPr>
        <w:t>初预算</w:t>
      </w:r>
      <w:r>
        <w:rPr>
          <w:rFonts w:hint="eastAsia" w:ascii="仿宋_GB2312" w:eastAsia="仿宋_GB2312"/>
          <w:sz w:val="28"/>
          <w:szCs w:val="28"/>
          <w:lang w:val="en-US" w:eastAsia="zh-CN"/>
        </w:rPr>
        <w:t>2.00</w:t>
      </w:r>
      <w:r>
        <w:rPr>
          <w:rFonts w:hint="eastAsia" w:ascii="仿宋_GB2312" w:eastAsia="仿宋_GB2312"/>
          <w:sz w:val="28"/>
          <w:szCs w:val="28"/>
        </w:rPr>
        <w:t>万元，</w:t>
      </w:r>
      <w:r>
        <w:rPr>
          <w:rFonts w:hint="eastAsia" w:ascii="仿宋_GB2312" w:eastAsia="仿宋_GB2312"/>
          <w:sz w:val="28"/>
          <w:szCs w:val="28"/>
          <w:highlight w:val="none"/>
        </w:rPr>
        <w:t>2024年度决算1.41万元</w:t>
      </w:r>
      <w:r>
        <w:rPr>
          <w:rFonts w:hint="eastAsia" w:ascii="仿宋_GB2312" w:eastAsia="仿宋_GB2312"/>
          <w:sz w:val="28"/>
          <w:szCs w:val="28"/>
        </w:rPr>
        <w:t>，</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70.50</w:t>
      </w:r>
      <w:r>
        <w:rPr>
          <w:rFonts w:hint="eastAsia" w:ascii="仿宋_GB2312" w:eastAsia="仿宋_GB2312"/>
          <w:sz w:val="28"/>
          <w:szCs w:val="28"/>
        </w:rPr>
        <w:t>%。主要原因：</w:t>
      </w:r>
      <w:r>
        <w:rPr>
          <w:rFonts w:hint="eastAsia" w:ascii="仿宋_GB2312" w:eastAsia="仿宋_GB2312"/>
          <w:sz w:val="28"/>
          <w:szCs w:val="28"/>
          <w:lang w:eastAsia="zh-CN"/>
        </w:rPr>
        <w:t>培训费按实际发生金额支出</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 xml:space="preserve">2、“社会保障和就业支出” </w:t>
      </w:r>
      <w:r>
        <w:rPr>
          <w:rFonts w:hint="eastAsia" w:ascii="仿宋_GB2312" w:eastAsia="仿宋_GB2312"/>
          <w:sz w:val="28"/>
          <w:szCs w:val="28"/>
          <w:lang w:val="en-US" w:eastAsia="zh-CN"/>
        </w:rPr>
        <w:t>2024</w:t>
      </w:r>
      <w:r>
        <w:rPr>
          <w:rFonts w:hint="eastAsia" w:ascii="仿宋_GB2312" w:eastAsia="仿宋_GB2312"/>
          <w:sz w:val="28"/>
          <w:szCs w:val="28"/>
        </w:rPr>
        <w:t>年度年初预算</w:t>
      </w:r>
      <w:r>
        <w:rPr>
          <w:rFonts w:hint="eastAsia" w:ascii="仿宋_GB2312" w:eastAsia="仿宋_GB2312"/>
          <w:sz w:val="28"/>
          <w:szCs w:val="28"/>
          <w:lang w:val="en-US" w:eastAsia="zh-CN"/>
        </w:rPr>
        <w:t>1215.09万元，</w:t>
      </w:r>
      <w:r>
        <w:rPr>
          <w:rFonts w:hint="eastAsia" w:ascii="仿宋_GB2312" w:eastAsia="仿宋_GB2312"/>
          <w:sz w:val="28"/>
          <w:szCs w:val="28"/>
        </w:rPr>
        <w:t>2024年度决算1833.89万元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150.93</w:t>
      </w:r>
      <w:r>
        <w:rPr>
          <w:rFonts w:hint="eastAsia" w:ascii="仿宋_GB2312" w:eastAsia="仿宋_GB2312"/>
          <w:sz w:val="28"/>
          <w:szCs w:val="28"/>
        </w:rPr>
        <w:t>%。其中：</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行政事业单位养老支出</w:t>
      </w:r>
      <w:r>
        <w:rPr>
          <w:rFonts w:hint="eastAsia" w:ascii="仿宋_GB2312" w:eastAsia="仿宋_GB2312"/>
          <w:sz w:val="28"/>
          <w:szCs w:val="28"/>
        </w:rPr>
        <w:t>”</w:t>
      </w:r>
      <w:r>
        <w:rPr>
          <w:rFonts w:hint="eastAsia" w:ascii="仿宋_GB2312" w:eastAsia="仿宋_GB2312"/>
          <w:sz w:val="28"/>
          <w:szCs w:val="28"/>
          <w:lang w:val="en-US"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w:t>
      </w:r>
      <w:r>
        <w:rPr>
          <w:rFonts w:hint="eastAsia" w:ascii="仿宋_GB2312" w:eastAsia="仿宋_GB2312"/>
          <w:sz w:val="28"/>
          <w:szCs w:val="28"/>
        </w:rPr>
        <w:t>初预算</w:t>
      </w:r>
      <w:r>
        <w:rPr>
          <w:rFonts w:hint="eastAsia" w:ascii="仿宋_GB2312" w:eastAsia="仿宋_GB2312"/>
          <w:sz w:val="28"/>
          <w:szCs w:val="28"/>
          <w:lang w:val="en-US" w:eastAsia="zh-CN"/>
        </w:rPr>
        <w:t>1215.09万元，</w:t>
      </w:r>
      <w:r>
        <w:rPr>
          <w:rFonts w:hint="eastAsia" w:ascii="仿宋_GB2312" w:eastAsia="仿宋_GB2312"/>
          <w:sz w:val="28"/>
          <w:szCs w:val="28"/>
        </w:rPr>
        <w:t>2024年度决算1833.89万元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150.93</w:t>
      </w:r>
      <w:r>
        <w:rPr>
          <w:rFonts w:hint="eastAsia" w:ascii="仿宋_GB2312" w:eastAsia="仿宋_GB2312"/>
          <w:sz w:val="28"/>
          <w:szCs w:val="28"/>
        </w:rPr>
        <w:t>%。主要原因：</w:t>
      </w:r>
      <w:r>
        <w:rPr>
          <w:rFonts w:hint="eastAsia" w:ascii="仿宋_GB2312" w:eastAsia="仿宋_GB2312"/>
          <w:sz w:val="28"/>
          <w:szCs w:val="28"/>
          <w:lang w:eastAsia="zh-CN"/>
        </w:rPr>
        <w:t>本单位新入职人数增加</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3、“卫生健康支出”</w:t>
      </w:r>
      <w:r>
        <w:rPr>
          <w:rFonts w:hint="eastAsia" w:ascii="仿宋_GB2312" w:eastAsia="仿宋_GB2312"/>
          <w:sz w:val="28"/>
          <w:szCs w:val="28"/>
        </w:rPr>
        <w:t>2024年度</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751.76万元，2024年度</w:t>
      </w:r>
      <w:r>
        <w:rPr>
          <w:rFonts w:hint="eastAsia" w:ascii="仿宋_GB2312" w:eastAsia="仿宋_GB2312"/>
          <w:sz w:val="28"/>
          <w:szCs w:val="28"/>
        </w:rPr>
        <w:t>决算</w:t>
      </w:r>
      <w:r>
        <w:rPr>
          <w:rFonts w:hint="eastAsia" w:ascii="仿宋_GB2312" w:eastAsia="仿宋_GB2312"/>
          <w:sz w:val="28"/>
          <w:szCs w:val="28"/>
          <w:lang w:eastAsia="zh-CN"/>
        </w:rPr>
        <w:t>764.64万元，完成年初预算的</w:t>
      </w:r>
      <w:r>
        <w:rPr>
          <w:rFonts w:hint="eastAsia" w:ascii="仿宋_GB2312" w:eastAsia="仿宋_GB2312"/>
          <w:sz w:val="28"/>
          <w:szCs w:val="28"/>
          <w:lang w:val="en-US" w:eastAsia="zh-CN"/>
        </w:rPr>
        <w:t>101.71%。其中：</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行政事业单位医疗</w:t>
      </w:r>
      <w:r>
        <w:rPr>
          <w:rFonts w:hint="eastAsia" w:ascii="仿宋_GB2312" w:eastAsia="仿宋_GB2312"/>
          <w:sz w:val="28"/>
          <w:szCs w:val="28"/>
        </w:rPr>
        <w:t>”2024年度决算</w:t>
      </w:r>
      <w:r>
        <w:rPr>
          <w:rFonts w:hint="eastAsia" w:ascii="仿宋_GB2312" w:eastAsia="仿宋_GB2312"/>
          <w:sz w:val="28"/>
          <w:szCs w:val="28"/>
          <w:lang w:eastAsia="zh-CN"/>
        </w:rPr>
        <w:t>764.64万元，比</w:t>
      </w:r>
      <w:r>
        <w:rPr>
          <w:rFonts w:hint="eastAsia" w:ascii="仿宋_GB2312" w:eastAsia="仿宋_GB2312"/>
          <w:sz w:val="28"/>
          <w:szCs w:val="28"/>
          <w:lang w:val="en-US" w:eastAsia="zh-CN"/>
        </w:rPr>
        <w:t>2024年度年初预算增加12.88万元，增长1.71%。</w:t>
      </w:r>
      <w:r>
        <w:rPr>
          <w:rFonts w:hint="eastAsia" w:ascii="仿宋_GB2312" w:eastAsia="仿宋_GB2312"/>
          <w:sz w:val="28"/>
          <w:szCs w:val="28"/>
        </w:rPr>
        <w:t>主要原因：</w:t>
      </w:r>
      <w:r>
        <w:rPr>
          <w:rFonts w:hint="eastAsia" w:ascii="仿宋_GB2312" w:eastAsia="仿宋_GB2312"/>
          <w:sz w:val="28"/>
          <w:szCs w:val="28"/>
          <w:lang w:eastAsia="zh-CN"/>
        </w:rPr>
        <w:t>本单位社保基数调整</w:t>
      </w:r>
      <w:r>
        <w:rPr>
          <w:rFonts w:hint="eastAsia" w:ascii="仿宋_GB2312" w:eastAsia="仿宋_GB2312"/>
          <w:sz w:val="28"/>
          <w:szCs w:val="28"/>
        </w:rPr>
        <w:t>。</w:t>
      </w:r>
    </w:p>
    <w:p>
      <w:pPr>
        <w:numPr>
          <w:ilvl w:val="0"/>
          <w:numId w:val="0"/>
        </w:numPr>
        <w:spacing w:line="580" w:lineRule="exac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4、“节能环保支出”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0.00万元，</w:t>
      </w:r>
      <w:r>
        <w:rPr>
          <w:rFonts w:hint="eastAsia" w:ascii="仿宋_GB2312" w:eastAsia="仿宋_GB2312"/>
          <w:sz w:val="28"/>
          <w:szCs w:val="28"/>
          <w:highlight w:val="none"/>
        </w:rPr>
        <w:t>2024年度决算</w:t>
      </w:r>
      <w:r>
        <w:rPr>
          <w:rFonts w:hint="eastAsia" w:ascii="仿宋_GB2312" w:eastAsia="仿宋_GB2312"/>
          <w:sz w:val="28"/>
          <w:szCs w:val="28"/>
          <w:highlight w:val="none"/>
          <w:lang w:val="en-US" w:eastAsia="zh-CN"/>
        </w:rPr>
        <w:t>600.00万元，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100%。其中：</w:t>
      </w:r>
    </w:p>
    <w:p>
      <w:pPr>
        <w:autoSpaceDE w:val="0"/>
        <w:autoSpaceDN w:val="0"/>
        <w:adjustRightInd w:val="0"/>
        <w:spacing w:line="580" w:lineRule="exact"/>
        <w:ind w:firstLine="560" w:firstLineChars="200"/>
        <w:jc w:val="left"/>
        <w:rPr>
          <w:rFonts w:hint="eastAsia" w:ascii="仿宋_GB2312" w:eastAsia="仿宋_GB2312"/>
          <w:sz w:val="28"/>
          <w:szCs w:val="28"/>
          <w:lang w:eastAsia="zh-CN"/>
        </w:rPr>
      </w:pPr>
      <w:r>
        <w:rPr>
          <w:rFonts w:hint="eastAsia" w:ascii="仿宋_GB2312" w:eastAsia="仿宋_GB2312"/>
          <w:sz w:val="28"/>
          <w:szCs w:val="28"/>
          <w:lang w:val="en-US" w:eastAsia="zh-CN"/>
        </w:rPr>
        <w:t>“其他节能环保支出”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0.00万元，</w:t>
      </w:r>
      <w:r>
        <w:rPr>
          <w:rFonts w:hint="eastAsia" w:ascii="仿宋_GB2312" w:eastAsia="仿宋_GB2312"/>
          <w:sz w:val="28"/>
          <w:szCs w:val="28"/>
          <w:highlight w:val="none"/>
        </w:rPr>
        <w:t>2024年度决算</w:t>
      </w:r>
      <w:r>
        <w:rPr>
          <w:rFonts w:hint="eastAsia" w:ascii="仿宋_GB2312" w:eastAsia="仿宋_GB2312"/>
          <w:sz w:val="28"/>
          <w:szCs w:val="28"/>
          <w:highlight w:val="none"/>
          <w:lang w:val="en-US" w:eastAsia="zh-CN"/>
        </w:rPr>
        <w:t>600.00万元，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主要原因：</w:t>
      </w:r>
      <w:r>
        <w:rPr>
          <w:rFonts w:hint="eastAsia" w:ascii="仿宋_GB2312" w:eastAsia="仿宋_GB2312"/>
          <w:sz w:val="28"/>
          <w:szCs w:val="28"/>
          <w:lang w:eastAsia="zh-CN"/>
        </w:rPr>
        <w:t>增加项目资金。</w:t>
      </w:r>
    </w:p>
    <w:p>
      <w:pPr>
        <w:autoSpaceDE w:val="0"/>
        <w:autoSpaceDN w:val="0"/>
        <w:adjustRightInd w:val="0"/>
        <w:spacing w:line="580" w:lineRule="exact"/>
        <w:ind w:firstLine="560" w:firstLineChars="200"/>
        <w:jc w:val="left"/>
        <w:rPr>
          <w:rFonts w:hint="eastAsia" w:ascii="仿宋_GB2312" w:eastAsia="仿宋_GB2312"/>
          <w:sz w:val="28"/>
          <w:szCs w:val="28"/>
          <w:highlight w:val="none"/>
          <w:lang w:val="en-US" w:eastAsia="zh-CN"/>
        </w:rPr>
      </w:pPr>
      <w:r>
        <w:rPr>
          <w:rFonts w:hint="eastAsia" w:ascii="仿宋_GB2312" w:eastAsia="仿宋_GB2312"/>
          <w:sz w:val="28"/>
          <w:szCs w:val="28"/>
          <w:lang w:val="en-US" w:eastAsia="zh-CN"/>
        </w:rPr>
        <w:t xml:space="preserve"> 5、</w:t>
      </w:r>
      <w:r>
        <w:rPr>
          <w:rFonts w:hint="eastAsia" w:ascii="仿宋_GB2312" w:eastAsia="仿宋_GB2312"/>
          <w:sz w:val="28"/>
          <w:szCs w:val="28"/>
          <w:highlight w:val="none"/>
          <w:lang w:val="en-US" w:eastAsia="zh-CN"/>
        </w:rPr>
        <w:t>“城乡社区支出”2024年度年初预算7927.43万元，2024年度决算7624.27万元，完成年初预算的96.18%。其中：</w:t>
      </w:r>
    </w:p>
    <w:p>
      <w:pPr>
        <w:numPr>
          <w:ilvl w:val="0"/>
          <w:numId w:val="0"/>
        </w:numPr>
        <w:spacing w:line="580" w:lineRule="exact"/>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“城乡社区管理事务”2024年度年初预算7627.42万元，2024年度决算7420.75万元，完成年初预算的97.29%。主要原因：公用经费使用减少。</w:t>
      </w:r>
    </w:p>
    <w:p>
      <w:pPr>
        <w:numPr>
          <w:ilvl w:val="0"/>
          <w:numId w:val="0"/>
        </w:numPr>
        <w:spacing w:line="580" w:lineRule="exact"/>
        <w:ind w:firstLine="560"/>
        <w:rPr>
          <w:rFonts w:hint="eastAsia" w:ascii="仿宋_GB2312" w:eastAsia="仿宋_GB2312"/>
          <w:sz w:val="28"/>
          <w:szCs w:val="28"/>
          <w:highlight w:val="none"/>
          <w:lang w:val="en-US" w:eastAsia="zh-CN"/>
        </w:rPr>
      </w:pPr>
      <w:r>
        <w:rPr>
          <w:rFonts w:hint="eastAsia" w:ascii="仿宋_GB2312" w:eastAsia="仿宋_GB2312"/>
          <w:sz w:val="28"/>
          <w:szCs w:val="28"/>
          <w:lang w:val="en-US" w:eastAsia="zh-CN"/>
        </w:rPr>
        <w:t>“其他城乡社区支出”</w:t>
      </w:r>
      <w:r>
        <w:rPr>
          <w:rFonts w:hint="eastAsia" w:ascii="仿宋_GB2312" w:eastAsia="仿宋_GB2312"/>
          <w:sz w:val="28"/>
          <w:szCs w:val="28"/>
          <w:highlight w:val="none"/>
          <w:lang w:val="en-US" w:eastAsia="zh-CN"/>
        </w:rPr>
        <w:t>2024年度年初预算300.00万元，2024年度决算203.52万元，完成年初预算的67.84%。主要原因：减少项目支出。</w:t>
      </w:r>
    </w:p>
    <w:p>
      <w:pPr>
        <w:numPr>
          <w:ilvl w:val="0"/>
          <w:numId w:val="0"/>
        </w:numPr>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6、“住房保障支出”2024年度年初预算986.88万元，2024年度决算1873.12万元，完成年初预算的189.80%。其中：</w:t>
      </w:r>
    </w:p>
    <w:p>
      <w:pPr>
        <w:numPr>
          <w:ilvl w:val="0"/>
          <w:numId w:val="0"/>
        </w:numPr>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“保障性安居工程支出”2024年度年初预算986.88万元，2024年度决算1187.19万元，完成年初预算的120.30%。主要原因：增加项目资金；</w:t>
      </w:r>
    </w:p>
    <w:p>
      <w:pPr>
        <w:numPr>
          <w:ilvl w:val="0"/>
          <w:numId w:val="0"/>
        </w:numPr>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“住房改革支出”2024年度年初预算0.00万元，2024年度决算685.93万元，完成年初预算的100%。主要原因：发放住房补贴。</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317365.53</w:t>
      </w:r>
      <w:r>
        <w:rPr>
          <w:rFonts w:hint="eastAsia" w:ascii="仿宋_GB2312" w:eastAsia="仿宋_GB2312"/>
          <w:sz w:val="28"/>
          <w:szCs w:val="28"/>
        </w:rPr>
        <w:t>万元，主要用于以下方面：城乡社区支出317365.53</w:t>
      </w:r>
      <w:r>
        <w:rPr>
          <w:rFonts w:hint="eastAsia" w:ascii="仿宋_GB2312" w:eastAsia="仿宋_GB2312"/>
          <w:sz w:val="28"/>
          <w:szCs w:val="28"/>
          <w:lang w:eastAsia="zh-CN"/>
        </w:rPr>
        <w:t>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96.15</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“城乡社区支出”202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559.98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年度决算317365.53</w:t>
      </w:r>
      <w:r>
        <w:rPr>
          <w:rFonts w:hint="eastAsia" w:ascii="仿宋_GB2312" w:eastAsia="仿宋_GB2312"/>
          <w:sz w:val="28"/>
          <w:szCs w:val="28"/>
          <w:lang w:eastAsia="zh-CN"/>
        </w:rPr>
        <w:t>万元</w:t>
      </w:r>
      <w:r>
        <w:rPr>
          <w:rFonts w:hint="eastAsia" w:ascii="仿宋_GB2312" w:eastAsia="仿宋_GB2312"/>
          <w:sz w:val="28"/>
          <w:szCs w:val="28"/>
        </w:rPr>
        <w:t>，</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56674.44</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“国有土地使用权出让收入安排的支出”202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559.98</w:t>
      </w:r>
      <w:r>
        <w:rPr>
          <w:rFonts w:hint="eastAsia" w:ascii="仿宋_GB2312" w:eastAsia="仿宋_GB2312"/>
          <w:sz w:val="28"/>
          <w:szCs w:val="28"/>
        </w:rPr>
        <w:t>万元，2024年度决算174875.53万元，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31228.89</w:t>
      </w:r>
      <w:r>
        <w:rPr>
          <w:rFonts w:hint="eastAsia" w:ascii="仿宋_GB2312" w:eastAsia="仿宋_GB2312"/>
          <w:sz w:val="28"/>
          <w:szCs w:val="28"/>
        </w:rPr>
        <w:t>%。主要原因：</w:t>
      </w:r>
      <w:r>
        <w:rPr>
          <w:rFonts w:hint="eastAsia" w:ascii="仿宋_GB2312" w:eastAsia="仿宋_GB2312"/>
          <w:sz w:val="28"/>
          <w:szCs w:val="28"/>
          <w:lang w:eastAsia="zh-CN"/>
        </w:rPr>
        <w:t>项目资金增加；</w:t>
      </w:r>
    </w:p>
    <w:p>
      <w:pPr>
        <w:spacing w:line="580" w:lineRule="exact"/>
        <w:ind w:firstLine="560" w:firstLineChars="200"/>
        <w:rPr>
          <w:rFonts w:hint="eastAsia"/>
        </w:rPr>
      </w:pPr>
      <w:r>
        <w:rPr>
          <w:rFonts w:hint="eastAsia" w:ascii="仿宋_GB2312" w:eastAsia="仿宋_GB2312"/>
          <w:sz w:val="28"/>
          <w:szCs w:val="28"/>
        </w:rPr>
        <w:t>“国有土地使用权出让收入对应专项债务收入安排的支出”202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0.00万元，</w:t>
      </w:r>
      <w:r>
        <w:rPr>
          <w:rFonts w:hint="eastAsia" w:ascii="仿宋_GB2312" w:eastAsia="仿宋_GB2312"/>
          <w:sz w:val="28"/>
          <w:szCs w:val="28"/>
        </w:rPr>
        <w:t>2024年度决算</w:t>
      </w:r>
      <w:r>
        <w:rPr>
          <w:rFonts w:hint="eastAsia" w:ascii="仿宋_GB2312" w:eastAsia="仿宋_GB2312"/>
          <w:sz w:val="28"/>
          <w:szCs w:val="28"/>
          <w:lang w:val="en-US" w:eastAsia="zh-CN"/>
        </w:rPr>
        <w:t>142490.00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主要原因：</w:t>
      </w:r>
      <w:r>
        <w:rPr>
          <w:rFonts w:hint="eastAsia" w:ascii="仿宋_GB2312" w:eastAsia="仿宋_GB2312"/>
          <w:sz w:val="28"/>
          <w:szCs w:val="28"/>
          <w:lang w:eastAsia="zh-CN"/>
        </w:rPr>
        <w:t>棚改项目资金增加</w:t>
      </w:r>
      <w:r>
        <w:rPr>
          <w:rFonts w:hint="eastAsia" w:ascii="仿宋_GB2312" w:eastAsia="仿宋_GB2312"/>
          <w:sz w:val="28"/>
          <w:szCs w:val="28"/>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lang w:val="en-US" w:eastAsia="zh-CN"/>
        </w:rPr>
        <w:t>.00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lang w:val="en-US" w:eastAsia="zh-CN"/>
        </w:rPr>
        <w:t>.00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ind w:firstLine="538"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10104.64</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万元，（1）工资福利支出包括基本工资</w:t>
      </w:r>
      <w:r>
        <w:rPr>
          <w:rFonts w:ascii="仿宋_GB2312" w:eastAsia="仿宋_GB2312"/>
          <w:sz w:val="28"/>
          <w:szCs w:val="28"/>
        </w:rPr>
        <w:t>、津贴补贴、奖金、绩效工资、</w:t>
      </w:r>
      <w:r>
        <w:rPr>
          <w:rFonts w:hint="eastAsia" w:ascii="仿宋_GB2312" w:eastAsia="仿宋_GB2312"/>
          <w:sz w:val="28"/>
          <w:szCs w:val="28"/>
          <w:lang w:eastAsia="zh-CN"/>
        </w:rPr>
        <w:t>机关事业单位基本养老保险缴费、职业年金缴费、职工基本医疗保险缴费、公务员医疗补助缴费、</w:t>
      </w:r>
      <w:r>
        <w:rPr>
          <w:rFonts w:hint="eastAsia" w:ascii="仿宋_GB2312" w:eastAsia="仿宋_GB2312"/>
          <w:sz w:val="28"/>
          <w:szCs w:val="28"/>
        </w:rPr>
        <w:t>其他</w:t>
      </w:r>
      <w:r>
        <w:rPr>
          <w:rFonts w:ascii="仿宋_GB2312" w:eastAsia="仿宋_GB2312"/>
          <w:sz w:val="28"/>
          <w:szCs w:val="28"/>
        </w:rPr>
        <w:t>社会保障缴费、</w:t>
      </w:r>
      <w:r>
        <w:rPr>
          <w:rFonts w:hint="eastAsia" w:ascii="仿宋_GB2312" w:eastAsia="仿宋_GB2312"/>
          <w:sz w:val="28"/>
          <w:szCs w:val="28"/>
          <w:lang w:eastAsia="zh-CN"/>
        </w:rPr>
        <w:t>住房公积金</w:t>
      </w:r>
      <w:r>
        <w:rPr>
          <w:rFonts w:hint="eastAsia" w:ascii="仿宋_GB2312" w:eastAsia="仿宋_GB2312"/>
          <w:sz w:val="28"/>
          <w:szCs w:val="28"/>
        </w:rPr>
        <w:t>；（2）商品和服务支出包括</w:t>
      </w:r>
      <w:r>
        <w:rPr>
          <w:rFonts w:ascii="仿宋_GB2312" w:eastAsia="仿宋_GB2312"/>
          <w:sz w:val="28"/>
          <w:szCs w:val="28"/>
        </w:rPr>
        <w:t>办公费、印刷费、邮电费、差旅费、维修（护）费、工会经费、福利费、公务用车运行维护费、其他交通费、其他商品和服务</w:t>
      </w:r>
      <w:r>
        <w:rPr>
          <w:rFonts w:hint="eastAsia" w:ascii="仿宋_GB2312" w:eastAsia="仿宋_GB2312"/>
          <w:sz w:val="28"/>
          <w:szCs w:val="28"/>
          <w:lang w:eastAsia="zh-CN"/>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离休费、退休费、抚恤金、医疗费</w:t>
      </w:r>
      <w:r>
        <w:rPr>
          <w:rFonts w:hint="eastAsia" w:ascii="仿宋_GB2312" w:eastAsia="仿宋_GB2312"/>
          <w:sz w:val="28"/>
          <w:szCs w:val="28"/>
        </w:rPr>
        <w:t>补助</w:t>
      </w:r>
      <w:r>
        <w:rPr>
          <w:rFonts w:ascii="仿宋_GB2312" w:eastAsia="仿宋_GB2312"/>
          <w:sz w:val="28"/>
          <w:szCs w:val="28"/>
        </w:rPr>
        <w:t>、奖励金</w:t>
      </w:r>
      <w:r>
        <w:rPr>
          <w:rFonts w:hint="eastAsia" w:ascii="仿宋_GB2312" w:eastAsia="仿宋_GB2312"/>
          <w:sz w:val="28"/>
          <w:szCs w:val="28"/>
          <w:lang w:eastAsia="zh-CN"/>
        </w:rPr>
        <w:t>；</w:t>
      </w:r>
      <w:r>
        <w:rPr>
          <w:rFonts w:hint="eastAsia" w:ascii="仿宋_GB2312" w:eastAsia="仿宋_GB2312"/>
          <w:sz w:val="28"/>
          <w:szCs w:val="28"/>
        </w:rPr>
        <w:t>（4）资本性支出包括</w:t>
      </w:r>
      <w:r>
        <w:rPr>
          <w:rFonts w:ascii="仿宋_GB2312" w:eastAsia="仿宋_GB2312"/>
          <w:sz w:val="28"/>
          <w:szCs w:val="28"/>
        </w:rPr>
        <w:t>办公设备购置。</w:t>
      </w:r>
    </w:p>
    <w:p>
      <w:pPr>
        <w:tabs>
          <w:tab w:val="center" w:pos="6979"/>
        </w:tabs>
        <w:spacing w:line="580" w:lineRule="exact"/>
        <w:ind w:firstLine="548" w:firstLineChars="196"/>
        <w:rPr>
          <w:rFonts w:hint="eastAsia" w:ascii="黑体" w:eastAsia="黑体"/>
          <w:b/>
          <w:sz w:val="28"/>
          <w:szCs w:val="28"/>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ascii="仿宋_GB2312" w:eastAsia="仿宋_GB2312"/>
          <w:b/>
          <w:sz w:val="32"/>
          <w:szCs w:val="32"/>
        </w:rPr>
      </w:pP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bCs/>
          <w:spacing w:val="40"/>
          <w:kern w:val="0"/>
          <w:sz w:val="32"/>
          <w:szCs w:val="32"/>
        </w:rPr>
      </w:pP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9.32</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21.6</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hint="eastAsia" w:ascii="仿宋_GB2312" w:eastAsia="仿宋_GB2312"/>
          <w:sz w:val="28"/>
          <w:szCs w:val="28"/>
          <w:lang w:val="en-US" w:eastAsia="zh-CN"/>
        </w:rPr>
        <w:t>12.28</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highlight w:val="none"/>
          <w:lang w:eastAsia="zh-CN"/>
        </w:rPr>
        <w:t>本单位无此项经费</w:t>
      </w:r>
      <w:r>
        <w:rPr>
          <w:rFonts w:hint="eastAsia" w:ascii="仿宋_GB2312" w:eastAsia="仿宋_GB2312"/>
          <w:sz w:val="28"/>
          <w:szCs w:val="28"/>
        </w:rPr>
        <w:t>；2024年度因公出国（境）费用主要用于</w:t>
      </w:r>
      <w:r>
        <w:rPr>
          <w:rFonts w:hint="eastAsia" w:ascii="仿宋_GB2312" w:eastAsia="仿宋_GB2312"/>
          <w:sz w:val="28"/>
          <w:szCs w:val="28"/>
          <w:lang w:eastAsia="zh-CN"/>
        </w:rPr>
        <w:t>：无</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w:t>
      </w:r>
      <w:r>
        <w:rPr>
          <w:rFonts w:hint="eastAsia" w:ascii="仿宋_GB2312" w:eastAsia="仿宋_GB2312"/>
          <w:sz w:val="28"/>
          <w:szCs w:val="28"/>
          <w:highlight w:val="none"/>
          <w:lang w:eastAsia="zh-CN"/>
        </w:rPr>
        <w:t>本单位无此项经费</w:t>
      </w:r>
      <w:r>
        <w:rPr>
          <w:rFonts w:hint="eastAsia" w:ascii="仿宋_GB2312" w:eastAsia="仿宋_GB2312"/>
          <w:sz w:val="28"/>
          <w:szCs w:val="28"/>
        </w:rPr>
        <w:t>。2024年度公务接待费主要用于</w:t>
      </w:r>
      <w:r>
        <w:rPr>
          <w:rFonts w:hint="eastAsia" w:ascii="仿宋_GB2312" w:eastAsia="仿宋_GB2312"/>
          <w:sz w:val="28"/>
          <w:szCs w:val="28"/>
          <w:lang w:eastAsia="zh-CN"/>
        </w:rPr>
        <w:t>：无</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9.32</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21.6</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hint="eastAsia" w:ascii="仿宋_GB2312" w:eastAsia="仿宋_GB2312"/>
          <w:sz w:val="28"/>
          <w:szCs w:val="28"/>
          <w:lang w:val="en-US" w:eastAsia="zh-CN"/>
        </w:rPr>
        <w:t>12.28</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highlight w:val="none"/>
          <w:lang w:eastAsia="zh-CN"/>
        </w:rPr>
        <w:t>本单位无此项经费</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9.32</w:t>
      </w:r>
      <w:r>
        <w:rPr>
          <w:rFonts w:hint="eastAsia" w:ascii="仿宋_GB2312" w:eastAsia="仿宋_GB2312"/>
          <w:sz w:val="28"/>
          <w:szCs w:val="28"/>
        </w:rPr>
        <w:t>万元，主要原因：厉行勤俭节约要求</w:t>
      </w:r>
      <w:r>
        <w:rPr>
          <w:rFonts w:hint="eastAsia" w:ascii="仿宋_GB2312" w:eastAsia="仿宋_GB2312"/>
          <w:sz w:val="28"/>
          <w:szCs w:val="28"/>
          <w:lang w:eastAsia="zh-CN"/>
        </w:rPr>
        <w:t>，公务用车运行维护费减少</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18</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8"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427.2</w:t>
      </w:r>
      <w:r>
        <w:rPr>
          <w:rFonts w:hint="eastAsia" w:ascii="仿宋_GB2312" w:eastAsia="仿宋_GB2312"/>
          <w:sz w:val="28"/>
          <w:szCs w:val="28"/>
        </w:rPr>
        <w:t>万元，比上年减少</w:t>
      </w:r>
      <w:r>
        <w:rPr>
          <w:rFonts w:hint="eastAsia" w:ascii="仿宋_GB2312" w:eastAsia="仿宋_GB2312"/>
          <w:sz w:val="28"/>
          <w:szCs w:val="28"/>
          <w:lang w:val="en-US" w:eastAsia="zh-CN"/>
        </w:rPr>
        <w:t>83.60</w:t>
      </w:r>
      <w:r>
        <w:rPr>
          <w:rFonts w:hint="eastAsia" w:ascii="仿宋_GB2312" w:eastAsia="仿宋_GB2312"/>
          <w:sz w:val="28"/>
          <w:szCs w:val="28"/>
        </w:rPr>
        <w:t>万元，减少原因：厉行勤俭节约要求</w:t>
      </w:r>
      <w:r>
        <w:rPr>
          <w:rFonts w:hint="eastAsia" w:ascii="仿宋_GB2312" w:eastAsia="仿宋_GB2312"/>
          <w:sz w:val="28"/>
          <w:szCs w:val="28"/>
          <w:lang w:eastAsia="zh-CN"/>
        </w:rPr>
        <w:t>，我单位本年度改为非独立办公，公用经费减少</w:t>
      </w:r>
      <w:r>
        <w:rPr>
          <w:rFonts w:hint="eastAsia" w:ascii="仿宋_GB2312" w:eastAsia="仿宋_GB2312"/>
          <w:sz w:val="28"/>
          <w:szCs w:val="28"/>
        </w:rPr>
        <w:t>。</w:t>
      </w:r>
    </w:p>
    <w:p>
      <w:pPr>
        <w:ind w:firstLine="537" w:firstLineChars="192"/>
        <w:rPr>
          <w:rFonts w:hint="eastAsia" w:ascii="仿宋_GB2312" w:eastAsia="仿宋_GB2312"/>
          <w:sz w:val="28"/>
          <w:szCs w:val="28"/>
        </w:rPr>
      </w:pPr>
    </w:p>
    <w:p>
      <w:pPr>
        <w:ind w:left="540"/>
        <w:rPr>
          <w:rFonts w:hint="eastAsia" w:ascii="黑体" w:eastAsia="黑体"/>
          <w:sz w:val="28"/>
          <w:szCs w:val="28"/>
        </w:rPr>
      </w:pPr>
      <w:r>
        <w:rPr>
          <w:rFonts w:hint="eastAsia" w:ascii="黑体" w:eastAsia="黑体"/>
          <w:sz w:val="28"/>
          <w:szCs w:val="28"/>
        </w:rPr>
        <w:t>三、政府采购支出情况</w:t>
      </w:r>
    </w:p>
    <w:p>
      <w:pPr>
        <w:ind w:firstLine="538" w:firstLineChars="192"/>
        <w:rPr>
          <w:rFonts w:hint="eastAsia" w:ascii="仿宋_GB2312" w:eastAsia="仿宋_GB2312"/>
          <w:sz w:val="28"/>
          <w:szCs w:val="28"/>
        </w:rPr>
      </w:pPr>
      <w:r>
        <w:rPr>
          <w:rFonts w:hint="eastAsia" w:ascii="仿宋_GB2312" w:eastAsia="仿宋_GB2312"/>
          <w:sz w:val="28"/>
          <w:szCs w:val="28"/>
        </w:rPr>
        <w:t>2024年度政府采购支出总额36.94万元，其中：政府采购货物支出25.2</w:t>
      </w:r>
      <w:r>
        <w:rPr>
          <w:rFonts w:hint="eastAsia" w:ascii="仿宋_GB2312" w:eastAsia="仿宋_GB2312"/>
          <w:sz w:val="28"/>
          <w:szCs w:val="28"/>
          <w:lang w:val="en-US" w:eastAsia="zh-CN"/>
        </w:rPr>
        <w:t>7</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0.00</w:t>
      </w:r>
      <w:r>
        <w:rPr>
          <w:rFonts w:hint="eastAsia" w:ascii="仿宋_GB2312" w:eastAsia="仿宋_GB2312"/>
          <w:sz w:val="28"/>
          <w:szCs w:val="28"/>
        </w:rPr>
        <w:t>万元，政府采购服务支出</w:t>
      </w:r>
      <w:r>
        <w:rPr>
          <w:rFonts w:hint="eastAsia" w:ascii="仿宋_GB2312" w:eastAsia="仿宋_GB2312"/>
          <w:sz w:val="28"/>
          <w:szCs w:val="28"/>
          <w:lang w:val="en-US" w:eastAsia="zh-CN"/>
        </w:rPr>
        <w:t>11.67</w:t>
      </w:r>
      <w:r>
        <w:rPr>
          <w:rFonts w:hint="eastAsia" w:ascii="仿宋_GB2312" w:eastAsia="仿宋_GB2312"/>
          <w:sz w:val="28"/>
          <w:szCs w:val="28"/>
        </w:rPr>
        <w:t>万元。授予中小企业合同金额</w:t>
      </w:r>
      <w:r>
        <w:rPr>
          <w:rFonts w:hint="eastAsia" w:ascii="仿宋_GB2312" w:eastAsia="仿宋_GB2312"/>
          <w:sz w:val="28"/>
          <w:szCs w:val="28"/>
          <w:lang w:val="en-US" w:eastAsia="zh-CN"/>
        </w:rPr>
        <w:t>34.11</w:t>
      </w:r>
      <w:r>
        <w:rPr>
          <w:rFonts w:hint="eastAsia" w:ascii="仿宋_GB2312" w:eastAsia="仿宋_GB2312"/>
          <w:sz w:val="28"/>
          <w:szCs w:val="28"/>
        </w:rPr>
        <w:t>万元，占政府采购支出总额的</w:t>
      </w:r>
      <w:r>
        <w:rPr>
          <w:rFonts w:hint="eastAsia" w:ascii="仿宋_GB2312" w:eastAsia="仿宋_GB2312"/>
          <w:sz w:val="28"/>
          <w:szCs w:val="28"/>
          <w:lang w:val="en-US" w:eastAsia="zh-CN"/>
        </w:rPr>
        <w:t>92.34</w:t>
      </w:r>
      <w:r>
        <w:rPr>
          <w:rFonts w:hint="eastAsia" w:ascii="仿宋_GB2312" w:eastAsia="仿宋_GB2312"/>
          <w:sz w:val="28"/>
          <w:szCs w:val="28"/>
        </w:rPr>
        <w:t>%，其中：授予小微企业合同金额</w:t>
      </w:r>
      <w:r>
        <w:rPr>
          <w:rFonts w:hint="eastAsia" w:ascii="仿宋_GB2312" w:eastAsia="仿宋_GB2312"/>
          <w:sz w:val="28"/>
          <w:szCs w:val="28"/>
          <w:lang w:val="en-US" w:eastAsia="zh-CN"/>
        </w:rPr>
        <w:t>34.11</w:t>
      </w:r>
      <w:r>
        <w:rPr>
          <w:rFonts w:hint="eastAsia" w:ascii="仿宋_GB2312" w:eastAsia="仿宋_GB2312"/>
          <w:sz w:val="28"/>
          <w:szCs w:val="28"/>
        </w:rPr>
        <w:t>万元，占政府采购支出总额的</w:t>
      </w:r>
      <w:r>
        <w:rPr>
          <w:rFonts w:hint="eastAsia" w:ascii="仿宋_GB2312" w:eastAsia="仿宋_GB2312"/>
          <w:sz w:val="28"/>
          <w:szCs w:val="28"/>
          <w:lang w:val="en-US" w:eastAsia="zh-CN"/>
        </w:rPr>
        <w:t>92.34</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12月31日，北京市大兴区住房和城乡建设委员会（本级）</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18</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政府购买服务决算416.66</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lang w:eastAsia="zh-CN"/>
        </w:rPr>
      </w:pPr>
      <w:r>
        <w:rPr>
          <w:rFonts w:hint="eastAsia" w:ascii="仿宋_GB2312" w:eastAsia="仿宋_GB2312"/>
          <w:sz w:val="28"/>
          <w:szCs w:val="28"/>
        </w:rPr>
        <w:t>7.教育支出</w:t>
      </w:r>
      <w:r>
        <w:rPr>
          <w:rFonts w:hint="eastAsia" w:ascii="仿宋_GB2312" w:eastAsia="仿宋_GB2312"/>
          <w:sz w:val="28"/>
          <w:szCs w:val="28"/>
          <w:lang w:eastAsia="zh-CN"/>
        </w:rPr>
        <w:t>（类）进修及培训（款）培训支出（项）：反映各部门安排的用于培训的支出。</w:t>
      </w:r>
    </w:p>
    <w:p>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8.</w:t>
      </w:r>
      <w:r>
        <w:rPr>
          <w:rFonts w:hint="eastAsia" w:ascii="仿宋_GB2312" w:eastAsia="仿宋_GB2312"/>
          <w:sz w:val="28"/>
          <w:szCs w:val="28"/>
        </w:rPr>
        <w:t>社会保障和就业支出（类）行政事业单位养老支出（款）行政单位离退休（项）：反映用于行政单位（包括实行公务员管理的事业单位）开支的离退休经费。</w:t>
      </w:r>
    </w:p>
    <w:p>
      <w:pPr>
        <w:rPr>
          <w:rFonts w:hint="eastAsia" w:ascii="仿宋_GB2312" w:eastAsia="仿宋_GB2312"/>
          <w:sz w:val="28"/>
          <w:szCs w:val="28"/>
          <w:highlight w:val="none"/>
          <w:lang w:eastAsia="zh-CN"/>
        </w:rPr>
      </w:pPr>
      <w:r>
        <w:rPr>
          <w:rFonts w:hint="eastAsia" w:ascii="仿宋_GB2312" w:eastAsia="仿宋_GB2312"/>
          <w:sz w:val="28"/>
          <w:szCs w:val="28"/>
          <w:lang w:val="en-US" w:eastAsia="zh-CN"/>
        </w:rPr>
        <w:t xml:space="preserve">   9.</w:t>
      </w:r>
      <w:r>
        <w:rPr>
          <w:rFonts w:hint="eastAsia" w:ascii="仿宋_GB2312" w:eastAsia="仿宋_GB2312"/>
          <w:sz w:val="28"/>
          <w:szCs w:val="28"/>
        </w:rPr>
        <w:t>社会保障和就业支出（类）行政事业单位养老支出（款）</w:t>
      </w:r>
      <w:r>
        <w:rPr>
          <w:rFonts w:hint="eastAsia" w:ascii="仿宋_GB2312" w:eastAsia="仿宋_GB2312"/>
          <w:sz w:val="28"/>
          <w:szCs w:val="28"/>
          <w:highlight w:val="none"/>
          <w:lang w:eastAsia="zh-CN"/>
        </w:rPr>
        <w:t>事业单位离退休（项）：反映事业单位开支的离退休经费。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10.</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机关事业单位基本养老保险缴费支出（项）：反映机关事业单位实施养老保险制度由单位实际缴纳的基本养老保险费支出。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11.</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机关事业单位职业年金缴费支出（项）：反映机关事业单位实施养老保险制度由单位实际缴纳的职业年金支出。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12.</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其他行政事业单位养老支出（项）：反映出上述项目以外其他用于行政事业单位养老方面的支出。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13.</w:t>
      </w:r>
      <w:r>
        <w:rPr>
          <w:rFonts w:hint="eastAsia" w:ascii="仿宋_GB2312" w:eastAsia="仿宋_GB2312"/>
          <w:sz w:val="28"/>
          <w:szCs w:val="28"/>
          <w:highlight w:val="none"/>
        </w:rPr>
        <w:t>社会保障和就业支出（类）</w:t>
      </w:r>
      <w:r>
        <w:rPr>
          <w:rFonts w:hint="eastAsia" w:ascii="仿宋_GB2312" w:eastAsia="仿宋_GB2312"/>
          <w:sz w:val="28"/>
          <w:szCs w:val="28"/>
          <w:highlight w:val="none"/>
          <w:lang w:eastAsia="zh-CN"/>
        </w:rPr>
        <w:t>抚恤（款）</w:t>
      </w:r>
      <w:r>
        <w:rPr>
          <w:rFonts w:hint="eastAsia" w:ascii="仿宋_GB2312" w:eastAsia="仿宋_GB2312"/>
          <w:sz w:val="28"/>
          <w:szCs w:val="28"/>
          <w:highlight w:val="none"/>
          <w:lang w:val="en-US" w:eastAsia="zh-CN"/>
        </w:rPr>
        <w:t>死亡抚恤（项）：反应按规定用于烈士和牺牲、病故人员家属的一次性和定期抚恤金、丧葬补助费以及烈士褒扬金。</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14.</w:t>
      </w:r>
      <w:r>
        <w:rPr>
          <w:rFonts w:hint="eastAsia" w:ascii="仿宋_GB2312" w:eastAsia="仿宋_GB2312"/>
          <w:sz w:val="28"/>
          <w:szCs w:val="28"/>
          <w:highlight w:val="none"/>
          <w:lang w:eastAsia="zh-CN"/>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15.</w:t>
      </w:r>
      <w:r>
        <w:rPr>
          <w:rFonts w:hint="eastAsia" w:ascii="仿宋_GB2312" w:eastAsia="仿宋_GB2312"/>
          <w:sz w:val="28"/>
          <w:szCs w:val="28"/>
          <w:highlight w:val="none"/>
          <w:lang w:eastAsia="zh-CN"/>
        </w:rPr>
        <w:t>卫生健康支出（类）行政事业单位医疗（款）事业单位医疗（项）：反映财政部门安排的事业单位基本医疗保险缴费经费，未参加医疗保险的行政单位的公费医疗经费，按国家规定享受离休人员待遇的医疗经费。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16.</w:t>
      </w:r>
      <w:r>
        <w:rPr>
          <w:rFonts w:hint="eastAsia" w:ascii="仿宋_GB2312" w:eastAsia="仿宋_GB2312"/>
          <w:sz w:val="28"/>
          <w:szCs w:val="28"/>
          <w:highlight w:val="none"/>
          <w:lang w:eastAsia="zh-CN"/>
        </w:rPr>
        <w:t>卫生健康支出（类）行政事业单位医疗（款）公务员医疗补助（项）：反映财政部门安排的公务员医疗补助经费。</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17.节能环保支出（类）其他节能环保支出（款）其他节能环保支出</w:t>
      </w:r>
      <w:r>
        <w:rPr>
          <w:rFonts w:hint="eastAsia" w:ascii="仿宋_GB2312" w:eastAsia="仿宋_GB2312"/>
          <w:sz w:val="28"/>
          <w:szCs w:val="28"/>
          <w:highlight w:val="none"/>
          <w:lang w:eastAsia="zh-CN"/>
        </w:rPr>
        <w:t>（项）：反映出上述项目以外其他用于</w:t>
      </w:r>
      <w:r>
        <w:rPr>
          <w:rFonts w:hint="eastAsia" w:ascii="仿宋_GB2312" w:eastAsia="仿宋_GB2312"/>
          <w:sz w:val="28"/>
          <w:szCs w:val="28"/>
          <w:highlight w:val="none"/>
          <w:lang w:val="en-US" w:eastAsia="zh-CN"/>
        </w:rPr>
        <w:t>节能环保方面的支出。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18.</w:t>
      </w:r>
      <w:r>
        <w:rPr>
          <w:rFonts w:hint="eastAsia" w:ascii="仿宋_GB2312" w:eastAsia="仿宋_GB2312"/>
          <w:sz w:val="28"/>
          <w:szCs w:val="28"/>
          <w:highlight w:val="none"/>
          <w:lang w:eastAsia="zh-CN"/>
        </w:rPr>
        <w:t>城乡社区支出（类）城乡社区管理事务（款）行政运行（项）：</w:t>
      </w:r>
      <w:r>
        <w:rPr>
          <w:rFonts w:hint="eastAsia" w:ascii="仿宋_GB2312" w:eastAsia="仿宋_GB2312"/>
          <w:sz w:val="28"/>
          <w:szCs w:val="28"/>
          <w:highlight w:val="none"/>
        </w:rPr>
        <w:t>反映用于行政单位（包括实行公务员管理的事业单位）</w:t>
      </w:r>
      <w:r>
        <w:rPr>
          <w:rFonts w:hint="eastAsia" w:ascii="仿宋_GB2312" w:eastAsia="仿宋_GB2312"/>
          <w:sz w:val="28"/>
          <w:szCs w:val="28"/>
          <w:highlight w:val="none"/>
          <w:lang w:eastAsia="zh-CN"/>
        </w:rPr>
        <w:t>的基本支出。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19.</w:t>
      </w:r>
      <w:r>
        <w:rPr>
          <w:rFonts w:hint="eastAsia" w:ascii="仿宋_GB2312" w:eastAsia="仿宋_GB2312"/>
          <w:sz w:val="28"/>
          <w:szCs w:val="28"/>
          <w:highlight w:val="none"/>
          <w:lang w:eastAsia="zh-CN"/>
        </w:rPr>
        <w:t>城乡社区支出（类）城乡社区管理事务（款）一般行政管理事务（项）：</w:t>
      </w:r>
      <w:r>
        <w:rPr>
          <w:rFonts w:hint="eastAsia" w:ascii="仿宋_GB2312" w:eastAsia="仿宋_GB2312"/>
          <w:sz w:val="28"/>
          <w:szCs w:val="28"/>
          <w:highlight w:val="none"/>
        </w:rPr>
        <w:t>反映用于行政单位（包括实行公务员管理的事业单位）</w:t>
      </w:r>
      <w:r>
        <w:rPr>
          <w:rFonts w:hint="eastAsia" w:ascii="仿宋_GB2312" w:eastAsia="仿宋_GB2312"/>
          <w:sz w:val="28"/>
          <w:szCs w:val="28"/>
          <w:highlight w:val="none"/>
          <w:lang w:eastAsia="zh-CN"/>
        </w:rPr>
        <w:t>未单独设置项级科目的其他项目支出。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20.</w:t>
      </w:r>
      <w:r>
        <w:rPr>
          <w:rFonts w:hint="eastAsia" w:ascii="仿宋_GB2312" w:eastAsia="仿宋_GB2312"/>
          <w:sz w:val="28"/>
          <w:szCs w:val="28"/>
          <w:highlight w:val="none"/>
          <w:lang w:eastAsia="zh-CN"/>
        </w:rPr>
        <w:t>城乡社区支出（类）城乡社区管理事务（款）工程建设管理（项）：反映调控建设市场运行、拟定建设市场法规、实施建筑工程质量、安全、工程勘察设计监管等方面的支出。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21.</w:t>
      </w:r>
      <w:r>
        <w:rPr>
          <w:rFonts w:hint="eastAsia" w:ascii="仿宋_GB2312" w:eastAsia="仿宋_GB2312"/>
          <w:sz w:val="28"/>
          <w:szCs w:val="28"/>
          <w:highlight w:val="none"/>
          <w:lang w:eastAsia="zh-CN"/>
        </w:rPr>
        <w:t>城乡社区支出（类）城乡社区管理事务（款）住宅建设与房地产市场监管（项）：反映调控建设市场运行、研究拟定城镇住房制度改革法规、对住房公积金和其他房改资金进行政策指导并监督使用等方面的支出。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22.</w:t>
      </w:r>
      <w:r>
        <w:rPr>
          <w:rFonts w:hint="eastAsia" w:ascii="仿宋_GB2312" w:eastAsia="仿宋_GB2312"/>
          <w:sz w:val="28"/>
          <w:szCs w:val="28"/>
          <w:highlight w:val="none"/>
          <w:lang w:eastAsia="zh-CN"/>
        </w:rPr>
        <w:t>城乡社区支出（类）城乡社区管理事务（款）其他城乡社区管理事务支出（项）：反映除上述项目以外其他用于城乡社区管理事务方面的支出。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23.</w:t>
      </w:r>
      <w:r>
        <w:rPr>
          <w:rFonts w:hint="eastAsia" w:ascii="仿宋_GB2312" w:eastAsia="仿宋_GB2312"/>
          <w:sz w:val="28"/>
          <w:szCs w:val="28"/>
          <w:highlight w:val="none"/>
          <w:lang w:eastAsia="zh-CN"/>
        </w:rPr>
        <w:t>城乡社区支出（类）国有土地使用权出让收入安排的支出（款）土地开发支出（项）</w:t>
      </w:r>
      <w:r>
        <w:rPr>
          <w:rFonts w:hint="eastAsia" w:ascii="仿宋_GB2312" w:eastAsia="仿宋_GB2312"/>
          <w:sz w:val="28"/>
          <w:szCs w:val="28"/>
          <w:highlight w:val="none"/>
          <w:lang w:val="en-US" w:eastAsia="zh-CN"/>
        </w:rPr>
        <w:t>:反映新疆生产建设兵团和地方政府用于前期土地开发性支出以及与前期土地开发相关的费用等支出。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24.</w:t>
      </w:r>
      <w:r>
        <w:rPr>
          <w:rFonts w:hint="eastAsia" w:ascii="仿宋_GB2312" w:eastAsia="仿宋_GB2312"/>
          <w:sz w:val="28"/>
          <w:szCs w:val="28"/>
          <w:highlight w:val="none"/>
          <w:lang w:eastAsia="zh-CN"/>
        </w:rPr>
        <w:t>城乡社区支出（类）国有土地使用权出让收入安排的支出（款）</w:t>
      </w:r>
      <w:r>
        <w:rPr>
          <w:rFonts w:hint="eastAsia" w:ascii="仿宋_GB2312" w:eastAsia="仿宋_GB2312"/>
          <w:sz w:val="28"/>
          <w:szCs w:val="28"/>
          <w:highlight w:val="none"/>
          <w:lang w:val="en-US" w:eastAsia="zh-CN"/>
        </w:rPr>
        <w:t>廉租住房支出</w:t>
      </w:r>
      <w:r>
        <w:rPr>
          <w:rFonts w:hint="eastAsia" w:ascii="仿宋_GB2312" w:eastAsia="仿宋_GB2312"/>
          <w:sz w:val="28"/>
          <w:szCs w:val="28"/>
          <w:highlight w:val="none"/>
          <w:lang w:eastAsia="zh-CN"/>
        </w:rPr>
        <w:t>（项）：反映从土地出让收入中安排用于城镇廉租住房建设和保障方面的支出。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25.</w:t>
      </w:r>
      <w:r>
        <w:rPr>
          <w:rFonts w:hint="eastAsia" w:ascii="仿宋_GB2312" w:eastAsia="仿宋_GB2312"/>
          <w:sz w:val="28"/>
          <w:szCs w:val="28"/>
          <w:highlight w:val="none"/>
          <w:lang w:eastAsia="zh-CN"/>
        </w:rPr>
        <w:t>城乡社区支出（类）国有土地使用权出让收入安排的支出（款）</w:t>
      </w:r>
      <w:r>
        <w:rPr>
          <w:rFonts w:hint="eastAsia" w:ascii="仿宋_GB2312" w:eastAsia="仿宋_GB2312"/>
          <w:sz w:val="28"/>
          <w:szCs w:val="28"/>
          <w:highlight w:val="none"/>
          <w:lang w:val="en-US" w:eastAsia="zh-CN"/>
        </w:rPr>
        <w:t>保障性住房租金补贴</w:t>
      </w:r>
      <w:r>
        <w:rPr>
          <w:rFonts w:hint="eastAsia" w:ascii="仿宋_GB2312" w:eastAsia="仿宋_GB2312"/>
          <w:sz w:val="28"/>
          <w:szCs w:val="28"/>
          <w:highlight w:val="none"/>
          <w:lang w:eastAsia="zh-CN"/>
        </w:rPr>
        <w:t>（项）：反映从土地出让收入中安排用于城镇廉租住房建设和保障方面的支出。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26.</w:t>
      </w:r>
      <w:r>
        <w:rPr>
          <w:rFonts w:hint="eastAsia" w:ascii="仿宋_GB2312" w:eastAsia="仿宋_GB2312"/>
          <w:sz w:val="28"/>
          <w:szCs w:val="28"/>
          <w:highlight w:val="none"/>
          <w:lang w:eastAsia="zh-CN"/>
        </w:rPr>
        <w:t>城乡社区支出（类）其他城乡社区支出（款）其他城乡社区支出（项）：反映出上述项目以外其他用于城乡社区方面的支出。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27.</w:t>
      </w:r>
      <w:r>
        <w:rPr>
          <w:rFonts w:hint="eastAsia" w:ascii="仿宋_GB2312" w:eastAsia="仿宋_GB2312"/>
          <w:sz w:val="28"/>
          <w:szCs w:val="28"/>
          <w:highlight w:val="none"/>
          <w:lang w:eastAsia="zh-CN"/>
        </w:rPr>
        <w:t>城乡社区支出（类）国有土地使用权出让收入对应专项债务收入安排的支出（款）棚户区改造支出（项）：反映土地储备专项债券、棚户区改造专项债券外，国有土地使用权出让收入对应其他专项债券收入安排的用于城市和国有工矿棚户区改造的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28.</w:t>
      </w:r>
      <w:r>
        <w:rPr>
          <w:rFonts w:hint="eastAsia" w:ascii="仿宋_GB2312" w:eastAsia="仿宋_GB2312"/>
          <w:sz w:val="28"/>
          <w:szCs w:val="28"/>
          <w:highlight w:val="none"/>
          <w:lang w:eastAsia="zh-CN"/>
        </w:rPr>
        <w:t>城乡社区支出（类）国有土地使用权出让收入对应专项债务收入安排的支出（款）其他国有土地使用权出让收入对应专项债务收入安排的支出（项）：反映土地储备专项债券、棚户区改造专项债券外，国有土地使用权出让收入对应其他专项债券收入安排的除上述项目以外的，用于其他方面的公益性资本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29.</w:t>
      </w:r>
      <w:r>
        <w:rPr>
          <w:rFonts w:hint="eastAsia" w:ascii="仿宋_GB2312" w:eastAsia="仿宋_GB2312"/>
          <w:sz w:val="28"/>
          <w:szCs w:val="28"/>
          <w:highlight w:val="none"/>
          <w:lang w:eastAsia="zh-CN"/>
        </w:rPr>
        <w:t>住房保障支出（类）</w:t>
      </w:r>
      <w:r>
        <w:rPr>
          <w:rFonts w:hint="eastAsia" w:ascii="仿宋_GB2312" w:eastAsia="仿宋_GB2312"/>
          <w:sz w:val="28"/>
          <w:szCs w:val="28"/>
          <w:highlight w:val="none"/>
          <w:lang w:val="en-US" w:eastAsia="zh-CN"/>
        </w:rPr>
        <w:t>保障性安居工程支出</w:t>
      </w:r>
      <w:r>
        <w:rPr>
          <w:rFonts w:hint="eastAsia" w:ascii="仿宋_GB2312" w:eastAsia="仿宋_GB2312"/>
          <w:sz w:val="28"/>
          <w:szCs w:val="28"/>
          <w:highlight w:val="none"/>
          <w:lang w:eastAsia="zh-CN"/>
        </w:rPr>
        <w:t>（款）</w:t>
      </w:r>
      <w:r>
        <w:rPr>
          <w:rFonts w:hint="eastAsia" w:ascii="仿宋_GB2312" w:eastAsia="仿宋_GB2312"/>
          <w:sz w:val="28"/>
          <w:szCs w:val="28"/>
          <w:highlight w:val="none"/>
          <w:lang w:val="en-US" w:eastAsia="zh-CN"/>
        </w:rPr>
        <w:t>公共租赁住房</w:t>
      </w:r>
      <w:r>
        <w:rPr>
          <w:rFonts w:hint="eastAsia" w:ascii="仿宋_GB2312" w:eastAsia="仿宋_GB2312"/>
          <w:sz w:val="28"/>
          <w:szCs w:val="28"/>
          <w:highlight w:val="none"/>
          <w:lang w:eastAsia="zh-CN"/>
        </w:rPr>
        <w:t>（项）：反映用于新建、改建、购买、租赁、维护和管理公共租赁住房支出。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30.</w:t>
      </w:r>
      <w:r>
        <w:rPr>
          <w:rFonts w:hint="eastAsia" w:ascii="仿宋_GB2312" w:eastAsia="仿宋_GB2312"/>
          <w:sz w:val="28"/>
          <w:szCs w:val="28"/>
          <w:highlight w:val="none"/>
          <w:lang w:eastAsia="zh-CN"/>
        </w:rPr>
        <w:t>住房保障支出（类）</w:t>
      </w:r>
      <w:r>
        <w:rPr>
          <w:rFonts w:hint="eastAsia" w:ascii="仿宋_GB2312" w:eastAsia="仿宋_GB2312"/>
          <w:sz w:val="28"/>
          <w:szCs w:val="28"/>
          <w:highlight w:val="none"/>
          <w:lang w:val="en-US" w:eastAsia="zh-CN"/>
        </w:rPr>
        <w:t>保障性安居工程支出</w:t>
      </w:r>
      <w:r>
        <w:rPr>
          <w:rFonts w:hint="eastAsia" w:ascii="仿宋_GB2312" w:eastAsia="仿宋_GB2312"/>
          <w:sz w:val="28"/>
          <w:szCs w:val="28"/>
          <w:highlight w:val="none"/>
          <w:lang w:eastAsia="zh-CN"/>
        </w:rPr>
        <w:t>（款）</w:t>
      </w:r>
      <w:r>
        <w:rPr>
          <w:rFonts w:hint="eastAsia" w:ascii="仿宋_GB2312" w:eastAsia="仿宋_GB2312"/>
          <w:sz w:val="28"/>
          <w:szCs w:val="28"/>
          <w:highlight w:val="none"/>
          <w:lang w:val="en-US" w:eastAsia="zh-CN"/>
        </w:rPr>
        <w:t>保障性住房租金补贴</w:t>
      </w:r>
      <w:r>
        <w:rPr>
          <w:rFonts w:hint="eastAsia" w:ascii="仿宋_GB2312" w:eastAsia="仿宋_GB2312"/>
          <w:sz w:val="28"/>
          <w:szCs w:val="28"/>
          <w:highlight w:val="none"/>
          <w:lang w:eastAsia="zh-CN"/>
        </w:rPr>
        <w:t>（项）：反映各级政府向低收入住房保障家庭发放的住房租赁补贴支出。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31.</w:t>
      </w:r>
      <w:r>
        <w:rPr>
          <w:rFonts w:hint="eastAsia" w:ascii="仿宋_GB2312" w:eastAsia="仿宋_GB2312"/>
          <w:sz w:val="28"/>
          <w:szCs w:val="28"/>
          <w:highlight w:val="none"/>
          <w:lang w:eastAsia="zh-CN"/>
        </w:rPr>
        <w:t>住房保障支出（类）</w:t>
      </w:r>
      <w:r>
        <w:rPr>
          <w:rFonts w:hint="eastAsia" w:ascii="仿宋_GB2312" w:eastAsia="仿宋_GB2312"/>
          <w:sz w:val="28"/>
          <w:szCs w:val="28"/>
          <w:highlight w:val="none"/>
          <w:lang w:val="en-US" w:eastAsia="zh-CN"/>
        </w:rPr>
        <w:t>住房改革支出</w:t>
      </w:r>
      <w:r>
        <w:rPr>
          <w:rFonts w:hint="eastAsia" w:ascii="仿宋_GB2312" w:eastAsia="仿宋_GB2312"/>
          <w:sz w:val="28"/>
          <w:szCs w:val="28"/>
          <w:highlight w:val="none"/>
          <w:lang w:eastAsia="zh-CN"/>
        </w:rPr>
        <w:t>（款）</w:t>
      </w:r>
      <w:r>
        <w:rPr>
          <w:rFonts w:hint="eastAsia" w:ascii="仿宋_GB2312" w:eastAsia="仿宋_GB2312"/>
          <w:sz w:val="28"/>
          <w:szCs w:val="28"/>
          <w:highlight w:val="none"/>
          <w:lang w:val="en-US" w:eastAsia="zh-CN"/>
        </w:rPr>
        <w:t>购房补贴</w:t>
      </w:r>
      <w:r>
        <w:rPr>
          <w:rFonts w:hint="eastAsia" w:ascii="仿宋_GB2312" w:eastAsia="仿宋_GB2312"/>
          <w:sz w:val="28"/>
          <w:szCs w:val="28"/>
          <w:highlight w:val="none"/>
          <w:lang w:eastAsia="zh-CN"/>
        </w:rPr>
        <w:t>（项）</w:t>
      </w:r>
      <w:r>
        <w:rPr>
          <w:rFonts w:hint="eastAsia" w:ascii="仿宋_GB2312" w:eastAsia="仿宋_GB2312"/>
          <w:sz w:val="28"/>
          <w:szCs w:val="28"/>
          <w:highlight w:val="none"/>
          <w:lang w:val="en-US" w:eastAsia="zh-CN"/>
        </w:rPr>
        <w:t xml:space="preserve"> ：反映按房改政策规定，行政事业单位向符合条件职工（含离退休人员）、军队（含武警）向转役复员离退休人员发放的用于购买住房的补贴。</w:t>
      </w: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2"/>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pPr>
        <w:spacing w:line="480" w:lineRule="exact"/>
        <w:rPr>
          <w:rFonts w:hint="eastAsia" w:ascii="仿宋_GB2312" w:hAnsi="仿宋_GB2312" w:eastAsia="仿宋_GB2312" w:cs="仿宋_GB2312"/>
          <w:sz w:val="32"/>
          <w:szCs w:val="32"/>
        </w:rPr>
      </w:pPr>
    </w:p>
    <w:p>
      <w:pPr>
        <w:spacing w:line="480" w:lineRule="exact"/>
      </w:pPr>
      <w:bookmarkStart w:id="0" w:name="_GoBack"/>
      <w:bookmarkEnd w:id="0"/>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Noto Sans CJK JP Bold">
    <w:altName w:val="宋体"/>
    <w:panose1 w:val="020B0800000000000000"/>
    <w:charset w:val="86"/>
    <w:family w:val="auto"/>
    <w:pitch w:val="default"/>
    <w:sig w:usb0="00000000" w:usb1="00000000" w:usb2="00000016" w:usb3="00000000" w:csb0="602E0107" w:csb1="00000000"/>
  </w:font>
  <w:font w:name="微软雅黑">
    <w:panose1 w:val="020B0503020204020204"/>
    <w:charset w:val="86"/>
    <w:family w:val="auto"/>
    <w:pitch w:val="default"/>
    <w:sig w:usb0="80000287" w:usb1="280F3C52" w:usb2="00000016" w:usb3="00000000" w:csb0="0004001F" w:csb1="00000000"/>
  </w:font>
  <w:font w:name="黑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3000509000000000000"/>
    <w:charset w:val="86"/>
    <w:family w:val="auto"/>
    <w:pitch w:val="default"/>
    <w:sig w:usb0="00000000" w:usb1="00000000" w:usb2="00000000" w:usb3="00000000" w:csb0="00040000" w:csb1="00000000"/>
  </w:font>
  <w:font w:name="Noto Sans SC">
    <w:altName w:val="宋体"/>
    <w:panose1 w:val="020B0200000000000000"/>
    <w:charset w:val="86"/>
    <w:family w:val="auto"/>
    <w:pitch w:val="default"/>
    <w:sig w:usb0="00000000" w:usb1="00000000" w:usb2="00000016" w:usb3="00000000" w:csb0="60060107" w:csb1="00000000"/>
  </w:font>
  <w:font w:name="方正黑体_GBK">
    <w:altName w:val="微软雅黑"/>
    <w:panose1 w:val="02000000000000000000"/>
    <w:charset w:val="86"/>
    <w:family w:val="auto"/>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58619424">
    <w:nsid w:val="68D26720"/>
    <w:multiLevelType w:val="singleLevel"/>
    <w:tmpl w:val="68D26720"/>
    <w:lvl w:ilvl="0" w:tentative="1">
      <w:start w:val="1"/>
      <w:numFmt w:val="chineseCounting"/>
      <w:suff w:val="nothing"/>
      <w:lvlText w:val="%1、"/>
      <w:lvlJc w:val="left"/>
    </w:lvl>
  </w:abstractNum>
  <w:abstractNum w:abstractNumId="2373878974">
    <w:nsid w:val="8D7E84BE"/>
    <w:multiLevelType w:val="singleLevel"/>
    <w:tmpl w:val="8D7E84BE"/>
    <w:lvl w:ilvl="0" w:tentative="1">
      <w:start w:val="1"/>
      <w:numFmt w:val="chineseCounting"/>
      <w:suff w:val="nothing"/>
      <w:lvlText w:val="%1、"/>
      <w:lvlJc w:val="left"/>
      <w:rPr>
        <w:rFonts w:hint="eastAsia"/>
      </w:rPr>
    </w:lvl>
  </w:abstractNum>
  <w:num w:numId="1">
    <w:abstractNumId w:val="1758619424"/>
  </w:num>
  <w:num w:numId="2">
    <w:abstractNumId w:val="23738789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542F2C"/>
    <w:rsid w:val="0F8E2C57"/>
    <w:rsid w:val="1059665E"/>
    <w:rsid w:val="10AC13BA"/>
    <w:rsid w:val="145A6C1B"/>
    <w:rsid w:val="14B73493"/>
    <w:rsid w:val="167A2FF9"/>
    <w:rsid w:val="1764587C"/>
    <w:rsid w:val="1836058A"/>
    <w:rsid w:val="18581C69"/>
    <w:rsid w:val="1AEC0734"/>
    <w:rsid w:val="1DEF20B0"/>
    <w:rsid w:val="1FF7AB17"/>
    <w:rsid w:val="214243FA"/>
    <w:rsid w:val="21AD613C"/>
    <w:rsid w:val="22467189"/>
    <w:rsid w:val="257A14F5"/>
    <w:rsid w:val="27196C26"/>
    <w:rsid w:val="29EF086F"/>
    <w:rsid w:val="2BC34C59"/>
    <w:rsid w:val="2EFFE297"/>
    <w:rsid w:val="301437CA"/>
    <w:rsid w:val="349D1F0A"/>
    <w:rsid w:val="34DD0473"/>
    <w:rsid w:val="3A8E35DC"/>
    <w:rsid w:val="3C684897"/>
    <w:rsid w:val="433E495C"/>
    <w:rsid w:val="489F2FD7"/>
    <w:rsid w:val="4AC27CB3"/>
    <w:rsid w:val="4B19640A"/>
    <w:rsid w:val="4BD233B0"/>
    <w:rsid w:val="4BF72BEF"/>
    <w:rsid w:val="4FA90297"/>
    <w:rsid w:val="4FC41A43"/>
    <w:rsid w:val="51DB3C59"/>
    <w:rsid w:val="550C0952"/>
    <w:rsid w:val="55762E42"/>
    <w:rsid w:val="57A7B272"/>
    <w:rsid w:val="58470068"/>
    <w:rsid w:val="58747CAC"/>
    <w:rsid w:val="5A1720F9"/>
    <w:rsid w:val="5B9C37C2"/>
    <w:rsid w:val="5BA7C654"/>
    <w:rsid w:val="5DF716AE"/>
    <w:rsid w:val="5F9F507E"/>
    <w:rsid w:val="60A54109"/>
    <w:rsid w:val="61D01CDF"/>
    <w:rsid w:val="64C0607C"/>
    <w:rsid w:val="65756C86"/>
    <w:rsid w:val="66152E40"/>
    <w:rsid w:val="674D385B"/>
    <w:rsid w:val="676F09E1"/>
    <w:rsid w:val="6A2246C5"/>
    <w:rsid w:val="71691990"/>
    <w:rsid w:val="71793A80"/>
    <w:rsid w:val="7357290B"/>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0">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1">
    <w:name w:val="Strong"/>
    <w:qFormat/>
    <w:uiPriority w:val="0"/>
    <w:rPr>
      <w:b/>
    </w:rPr>
  </w:style>
  <w:style w:type="character" w:styleId="12">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D:\&#24037;&#20316;&#36164;&#26009;\&#20915;&#31639;\2024\&#33609;&#26696;\2024-055001-&#21271;&#20140;&#24066;&#22823;&#20852;&#21306;&#20303;&#25151;&#21644;&#22478;&#20065;&#24314;&#35774;&#22996;&#21592;&#20250;&#65288;&#26412;&#32423;&#65289;&#20915;&#31639;&#33609;&#26696;&#25253;&#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D:\&#24037;&#20316;&#36164;&#26009;\&#20915;&#31639;\2024\&#33609;&#26696;\2024-055001-&#21271;&#20140;&#24066;&#22823;&#20852;&#21306;&#20303;&#25151;&#21644;&#22478;&#20065;&#24314;&#35774;&#22996;&#21592;&#20250;&#65288;&#26412;&#32423;&#65289;&#20915;&#31639;&#33609;&#26696;&#25253;&#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2"/>
              <c:layout>
                <c:manualLayout>
                  <c:x val="0.00834724540901502"/>
                  <c:y val="-0.0726933830382106"/>
                </c:manualLayout>
              </c:layout>
              <c:numFmt formatCode="General" sourceLinked="1"/>
              <c:dLblPos val="ctr"/>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'[2024-055001-北京市大兴区住房和城乡建设委员会（本级）决算草案报表.xlsx]C01收入支出决算总表'!$A$6:$A$8</c:f>
              <c:strCache>
                <c:ptCount val="3"/>
                <c:pt idx="0" c:formatCode="#,##0.000000">
                  <c:v>一、一般公共预算财政拨款收入</c:v>
                </c:pt>
                <c:pt idx="1" c:formatCode="#,##0.000000">
                  <c:v>二、政府性基金预算财政拨款收入</c:v>
                </c:pt>
                <c:pt idx="2" c:formatCode="#,##0.000000">
                  <c:v>八、其他收入</c:v>
                </c:pt>
              </c:strCache>
            </c:strRef>
          </c:cat>
          <c:val>
            <c:numRef>
              <c:f>'[2024-055001-北京市大兴区住房和城乡建设委员会（本级）决算草案报表.xlsx]C01收入支出决算总表'!$B$6:$B$8</c:f>
              <c:numCache>
                <c:formatCode>General</c:formatCode>
                <c:ptCount val="3"/>
                <c:pt idx="0" c:formatCode="General">
                  <c:v>11811.09</c:v>
                </c:pt>
                <c:pt idx="1" c:formatCode="General">
                  <c:v>314917.53</c:v>
                </c:pt>
                <c:pt idx="2" c:formatCode="General">
                  <c:v>8.8</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563055555555555"/>
          <c:y val="0.277510188958873"/>
          <c:w val="0.426944444444444"/>
          <c:h val="0.567617636161541"/>
        </c:manualLayout>
      </c:layout>
      <c:overlay val="0"/>
      <c:spPr>
        <a:noFill/>
        <a:ln>
          <a:noFill/>
        </a:ln>
        <a:effectLst/>
      </c:spPr>
      <c:txPr>
        <a:bodyPr rot="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
                  <c:y val="0.0944571990816661"/>
                </c:manualLayout>
              </c:layout>
              <c:numFmt formatCode="General" sourceLinked="1"/>
              <c:dLblPos val="inEnd"/>
              <c:showLegendKey val="0"/>
              <c:showVal val="1"/>
              <c:showCatName val="0"/>
              <c:showSerName val="0"/>
              <c:showPercent val="0"/>
              <c:showBubbleSize val="0"/>
              <c:extLst>
                <c:ext xmlns:c15="http://schemas.microsoft.com/office/drawing/2012/chart" uri="{CE6537A1-D6FC-4f65-9D91-7224C49458BB}">
                  <c15:layout>
                    <c:manualLayout>
                      <c:w val="0.305006465915389"/>
                      <c:h val="0.182026894063627"/>
                    </c:manualLayout>
                  </c15:layout>
                </c:ext>
              </c:extLst>
            </c:dLbl>
            <c:dLbl>
              <c:idx val="1"/>
              <c:layout/>
              <c:numFmt formatCode="General" sourceLinked="1"/>
              <c:dLblPos val="inEnd"/>
              <c:showLegendKey val="0"/>
              <c:showVal val="1"/>
              <c:showCatName val="0"/>
              <c:showSerName val="0"/>
              <c:showPercent val="0"/>
              <c:showBubbleSize val="0"/>
              <c:extLst>
                <c:ext xmlns:c15="http://schemas.microsoft.com/office/drawing/2012/chart" uri="{CE6537A1-D6FC-4f65-9D91-7224C49458BB}">
                  <c15:layout>
                    <c:manualLayout>
                      <c:w val="0.239423609828191"/>
                      <c:h val="0.130206625122991"/>
                    </c:manualLayout>
                  </c15:layout>
                </c:ext>
              </c:extLst>
            </c:dLbl>
            <c:numFmt formatCode="General" sourceLinked="1"/>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'[2024-055001-北京市大兴区住房和城乡建设委员会（本级）决算草案报表.xlsx]C03支出决算表'!$K$10:$K$11</c:f>
              <c:strCache>
                <c:ptCount val="2"/>
                <c:pt idx="0" c:formatCode="#,##0.000000">
                  <c:v>基本支出</c:v>
                </c:pt>
                <c:pt idx="1" c:formatCode="#,##0.000000">
                  <c:v>项目支出</c:v>
                </c:pt>
              </c:strCache>
            </c:strRef>
          </c:cat>
          <c:val>
            <c:numRef>
              <c:f>'[2024-055001-北京市大兴区住房和城乡建设委员会（本级）决算草案报表.xlsx]C03支出决算表'!$L$10:$L$11</c:f>
              <c:numCache>
                <c:formatCode>General</c:formatCode>
                <c:ptCount val="2"/>
                <c:pt idx="0" c:formatCode="General">
                  <c:v>10104.64</c:v>
                </c:pt>
                <c:pt idx="1" c:formatCode="General">
                  <c:v>319959.62</c:v>
                </c:pt>
              </c:numCache>
            </c:numRef>
          </c:val>
        </c:ser>
        <c:dLbls>
          <c:dLblPos val="inEnd"/>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ScaleCrop>false</ScaleCrop>
  <LinksUpToDate>false</LinksUpToDate>
  <CharactersWithSpaces>298</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Administrator</cp:lastModifiedBy>
  <cp:lastPrinted>2020-08-09T03:39:00Z</cp:lastPrinted>
  <dcterms:modified xsi:type="dcterms:W3CDTF">2025-09-25T02:24:54Z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y fmtid="{D5CDD505-2E9C-101B-9397-08002B2CF9AE}" pid="3" name="ICV">
    <vt:lpwstr>A7F78878FB63AC2F75B4B7682BD79272</vt:lpwstr>
  </property>
  <property fmtid="{D5CDD505-2E9C-101B-9397-08002B2CF9AE}" pid="4" name="KSOTemplateDocerSaveRecord">
    <vt:lpwstr>eyJoZGlkIjoiMjQwNjQzNTg4ZDE0ZTBiOGFjNjE4NDNkMzM5NWRjMzIiLCJ1c2VySWQiOiI4OTI4ODkxNzIifQ==</vt:lpwstr>
  </property>
</Properties>
</file>