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pPr>
        <w:tabs>
          <w:tab w:val="center" w:pos="6979"/>
        </w:tabs>
        <w:spacing w:line="580" w:lineRule="exact"/>
        <w:ind w:firstLine="560" w:firstLineChars="200"/>
        <w:rPr>
          <w:rFonts w:hint="eastAsia" w:ascii="仿宋_GB2312" w:eastAsia="仿宋_GB2312"/>
          <w:kern w:val="0"/>
          <w:sz w:val="28"/>
          <w:szCs w:val="28"/>
        </w:rPr>
      </w:pPr>
      <w:r>
        <w:rPr>
          <w:rFonts w:hint="eastAsia" w:ascii="仿宋_GB2312" w:eastAsia="仿宋_GB2312"/>
          <w:kern w:val="0"/>
          <w:sz w:val="28"/>
          <w:szCs w:val="28"/>
          <w:lang w:val="en-US" w:eastAsia="zh-CN"/>
        </w:rPr>
        <w:t>(一）</w:t>
      </w:r>
      <w:r>
        <w:rPr>
          <w:rFonts w:hint="eastAsia" w:ascii="仿宋_GB2312" w:eastAsia="仿宋_GB2312"/>
          <w:kern w:val="0"/>
          <w:sz w:val="28"/>
          <w:szCs w:val="28"/>
        </w:rPr>
        <w:t>单位职责</w:t>
      </w:r>
    </w:p>
    <w:p>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通过北京市建设工程交易平台大兴端口，为区内立项招标项目提供电子化招投标服务；协调安排开标、评标等活动的设施服务场所；负责档案管理保存工作；协助机关开展本区建筑市场的相关事务性工作。</w:t>
      </w:r>
    </w:p>
    <w:p>
      <w:pPr>
        <w:numPr>
          <w:ilvl w:val="0"/>
          <w:numId w:val="1"/>
        </w:numPr>
        <w:tabs>
          <w:tab w:val="center" w:pos="6979"/>
        </w:tabs>
        <w:spacing w:line="580" w:lineRule="exact"/>
        <w:ind w:firstLine="560" w:firstLineChars="200"/>
        <w:rPr>
          <w:rFonts w:hint="eastAsia" w:ascii="仿宋_GB2312" w:eastAsia="仿宋_GB2312"/>
          <w:kern w:val="0"/>
          <w:sz w:val="28"/>
          <w:szCs w:val="28"/>
        </w:rPr>
      </w:pPr>
      <w:r>
        <w:rPr>
          <w:rFonts w:hint="eastAsia" w:ascii="仿宋_GB2312" w:eastAsia="仿宋_GB2312"/>
          <w:kern w:val="0"/>
          <w:sz w:val="28"/>
          <w:szCs w:val="28"/>
        </w:rPr>
        <w:t>机构设置情况</w:t>
      </w:r>
    </w:p>
    <w:p>
      <w:pPr>
        <w:numPr>
          <w:numId w:val="0"/>
        </w:numPr>
        <w:tabs>
          <w:tab w:val="center" w:pos="6979"/>
        </w:tabs>
        <w:spacing w:line="580" w:lineRule="exact"/>
        <w:rPr>
          <w:rFonts w:ascii="仿宋_GB2312" w:eastAsia="仿宋_GB2312"/>
          <w:kern w:val="0"/>
          <w:sz w:val="28"/>
          <w:szCs w:val="28"/>
          <w:highlight w:val="none"/>
        </w:rPr>
      </w:pPr>
      <w:r>
        <w:rPr>
          <w:rFonts w:hint="eastAsia" w:ascii="仿宋_GB2312" w:eastAsia="仿宋_GB2312"/>
          <w:kern w:val="0"/>
          <w:sz w:val="28"/>
          <w:szCs w:val="28"/>
          <w:lang w:val="en-US" w:eastAsia="zh-CN"/>
        </w:rPr>
        <w:t xml:space="preserve">    </w:t>
      </w:r>
      <w:r>
        <w:rPr>
          <w:rFonts w:hint="eastAsia" w:ascii="仿宋_GB2312" w:eastAsia="仿宋_GB2312"/>
          <w:kern w:val="0"/>
          <w:sz w:val="28"/>
          <w:szCs w:val="28"/>
        </w:rPr>
        <w:t>科室负责人负责发包承包中心全面工作；办公室负责办公室及招投标档案管理工作，场内评标专家的抽取及归档工作，场内场外专家抽取结果通知单打印工作，配合业务二组做好开标工作；业务一科负责业务一组开标、评标工作，协调安排</w:t>
      </w:r>
      <w:r>
        <w:rPr>
          <w:rFonts w:hint="eastAsia" w:ascii="仿宋_GB2312" w:eastAsia="仿宋_GB2312"/>
          <w:kern w:val="0"/>
          <w:sz w:val="28"/>
          <w:szCs w:val="28"/>
          <w:highlight w:val="none"/>
        </w:rPr>
        <w:t>开标、评标等活动的设施服务场所；业务二科负责业务二组开标、评标工作；项目经理变更、解锁工作；网络维护科负责网络系统维护工作，配合业务一组、二组做好开标工作；合同管理科负责劳务合同登记工作；车辆管理科负责车辆日常维护管理工作，配合做好车辆管理工作；财务科负责会计及出纳的日常财务工作。</w:t>
      </w:r>
    </w:p>
    <w:p>
      <w:pPr>
        <w:tabs>
          <w:tab w:val="center" w:pos="6979"/>
        </w:tabs>
        <w:spacing w:line="580" w:lineRule="exact"/>
        <w:rPr>
          <w:rFonts w:hint="eastAsia" w:ascii="黑体" w:eastAsia="黑体"/>
          <w:b/>
          <w:sz w:val="28"/>
          <w:szCs w:val="28"/>
          <w:highlight w:val="none"/>
        </w:rPr>
      </w:pPr>
      <w:r>
        <w:rPr>
          <w:rFonts w:hint="eastAsia" w:ascii="仿宋_GB2312" w:eastAsia="仿宋_GB2312"/>
          <w:b/>
          <w:sz w:val="32"/>
          <w:szCs w:val="32"/>
          <w:highlight w:val="none"/>
        </w:rPr>
        <w:t xml:space="preserve">   </w:t>
      </w:r>
      <w:r>
        <w:rPr>
          <w:rFonts w:hint="eastAsia" w:ascii="黑体" w:eastAsia="黑体"/>
          <w:b/>
          <w:sz w:val="28"/>
          <w:szCs w:val="28"/>
          <w:highlight w:val="none"/>
        </w:rPr>
        <w:t>二、收入支出决算总体情况说明</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年度收、</w:t>
      </w:r>
      <w:r>
        <w:rPr>
          <w:rFonts w:ascii="仿宋_GB2312" w:eastAsia="仿宋_GB2312"/>
          <w:sz w:val="28"/>
          <w:szCs w:val="28"/>
          <w:highlight w:val="none"/>
        </w:rPr>
        <w:t>支</w:t>
      </w:r>
      <w:r>
        <w:rPr>
          <w:rFonts w:hint="eastAsia" w:ascii="仿宋_GB2312" w:eastAsia="仿宋_GB2312"/>
          <w:sz w:val="28"/>
          <w:szCs w:val="28"/>
          <w:highlight w:val="none"/>
        </w:rPr>
        <w:t>总计</w:t>
      </w:r>
      <w:r>
        <w:rPr>
          <w:rFonts w:ascii="仿宋_GB2312" w:eastAsia="仿宋_GB2312"/>
          <w:sz w:val="28"/>
          <w:szCs w:val="28"/>
          <w:highlight w:val="none"/>
        </w:rPr>
        <w:t>713.09</w:t>
      </w:r>
      <w:r>
        <w:rPr>
          <w:rFonts w:hint="eastAsia" w:ascii="仿宋_GB2312" w:eastAsia="仿宋_GB2312"/>
          <w:sz w:val="28"/>
          <w:szCs w:val="28"/>
          <w:highlight w:val="none"/>
        </w:rPr>
        <w:t>万元，</w:t>
      </w:r>
      <w:r>
        <w:rPr>
          <w:rFonts w:ascii="仿宋_GB2312" w:eastAsia="仿宋_GB2312"/>
          <w:sz w:val="28"/>
          <w:szCs w:val="28"/>
          <w:highlight w:val="none"/>
        </w:rPr>
        <w:t>比上年</w:t>
      </w:r>
      <w:r>
        <w:rPr>
          <w:rFonts w:hint="eastAsia" w:ascii="仿宋_GB2312" w:eastAsia="仿宋_GB2312"/>
          <w:sz w:val="28"/>
          <w:szCs w:val="28"/>
          <w:highlight w:val="none"/>
        </w:rPr>
        <w:t>减少</w:t>
      </w:r>
      <w:r>
        <w:rPr>
          <w:rFonts w:hint="eastAsia" w:ascii="仿宋_GB2312" w:eastAsia="仿宋_GB2312"/>
          <w:sz w:val="28"/>
          <w:szCs w:val="28"/>
          <w:highlight w:val="none"/>
          <w:lang w:val="en-US" w:eastAsia="zh-CN"/>
        </w:rPr>
        <w:t>94.51</w:t>
      </w:r>
      <w:r>
        <w:rPr>
          <w:rFonts w:hint="eastAsia" w:ascii="仿宋_GB2312" w:eastAsia="仿宋_GB2312"/>
          <w:sz w:val="28"/>
          <w:szCs w:val="28"/>
          <w:highlight w:val="none"/>
        </w:rPr>
        <w:t>万元，下降</w:t>
      </w:r>
      <w:r>
        <w:rPr>
          <w:rFonts w:hint="eastAsia" w:ascii="仿宋_GB2312" w:eastAsia="仿宋_GB2312"/>
          <w:sz w:val="28"/>
          <w:szCs w:val="28"/>
          <w:highlight w:val="none"/>
          <w:lang w:val="en-US" w:eastAsia="zh-CN"/>
        </w:rPr>
        <w:t>11.70</w:t>
      </w:r>
      <w:r>
        <w:rPr>
          <w:rFonts w:hint="eastAsia" w:ascii="仿宋_GB2312" w:eastAsia="仿宋_GB2312"/>
          <w:sz w:val="28"/>
          <w:szCs w:val="28"/>
          <w:highlight w:val="none"/>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年度本年收入合计</w:t>
      </w:r>
      <w:r>
        <w:rPr>
          <w:rFonts w:ascii="仿宋_GB2312" w:eastAsia="仿宋_GB2312"/>
          <w:sz w:val="28"/>
          <w:szCs w:val="28"/>
          <w:highlight w:val="none"/>
        </w:rPr>
        <w:t>269.39</w:t>
      </w:r>
      <w:r>
        <w:rPr>
          <w:rFonts w:hint="eastAsia" w:ascii="仿宋_GB2312" w:eastAsia="仿宋_GB2312"/>
          <w:sz w:val="28"/>
          <w:szCs w:val="28"/>
          <w:highlight w:val="none"/>
        </w:rPr>
        <w:t>万元，</w:t>
      </w:r>
      <w:r>
        <w:rPr>
          <w:rFonts w:ascii="仿宋_GB2312" w:eastAsia="仿宋_GB2312"/>
          <w:sz w:val="28"/>
          <w:szCs w:val="28"/>
          <w:highlight w:val="none"/>
        </w:rPr>
        <w:t>比上年</w:t>
      </w:r>
      <w:r>
        <w:rPr>
          <w:rFonts w:hint="eastAsia" w:ascii="仿宋_GB2312" w:eastAsia="仿宋_GB2312"/>
          <w:sz w:val="28"/>
          <w:szCs w:val="28"/>
          <w:highlight w:val="none"/>
        </w:rPr>
        <w:t>减少538.22万元，下降</w:t>
      </w:r>
      <w:bookmarkStart w:id="0" w:name="OLE_LINK1"/>
      <w:r>
        <w:rPr>
          <w:rFonts w:hint="eastAsia" w:ascii="仿宋_GB2312" w:eastAsia="仿宋_GB2312"/>
          <w:sz w:val="28"/>
          <w:szCs w:val="28"/>
          <w:highlight w:val="none"/>
        </w:rPr>
        <w:t>66.64%</w:t>
      </w:r>
      <w:bookmarkEnd w:id="0"/>
      <w:r>
        <w:rPr>
          <w:rFonts w:hint="eastAsia" w:ascii="仿宋_GB2312" w:eastAsia="仿宋_GB2312"/>
          <w:sz w:val="28"/>
          <w:szCs w:val="28"/>
          <w:highlight w:val="none"/>
        </w:rPr>
        <w:t>。</w:t>
      </w:r>
    </w:p>
    <w:p>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lang w:eastAsia="zh-CN"/>
        </w:rPr>
        <w:t>%。</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highlight w:val="none"/>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color w:val="auto"/>
          <w:sz w:val="28"/>
          <w:szCs w:val="28"/>
          <w:highlight w:val="none"/>
        </w:rPr>
        <w:t>%</w:t>
      </w:r>
      <w:r>
        <w:rPr>
          <w:rFonts w:hint="eastAsia" w:ascii="仿宋_GB2312" w:eastAsia="仿宋_GB2312"/>
          <w:sz w:val="28"/>
          <w:szCs w:val="28"/>
          <w:highlight w:val="none"/>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highlight w:val="none"/>
        </w:rPr>
        <w:t>%</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万元，占收入合计的</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事业收入</w:t>
      </w:r>
      <w:r>
        <w:rPr>
          <w:rFonts w:ascii="仿宋_GB2312" w:eastAsia="仿宋_GB2312"/>
          <w:sz w:val="28"/>
          <w:szCs w:val="28"/>
          <w:highlight w:val="none"/>
        </w:rPr>
        <w:t>267.59</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99.33</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4.经营收入</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万元，占收入合计的</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5.附属单位上缴收入</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万元，占收入合计的</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6.其他收入</w:t>
      </w:r>
      <w:r>
        <w:rPr>
          <w:rFonts w:ascii="仿宋_GB2312" w:eastAsia="仿宋_GB2312"/>
          <w:sz w:val="28"/>
          <w:szCs w:val="28"/>
          <w:highlight w:val="none"/>
        </w:rPr>
        <w:t>1.8</w:t>
      </w:r>
      <w:r>
        <w:rPr>
          <w:rFonts w:hint="eastAsia" w:ascii="仿宋_GB2312" w:eastAsia="仿宋_GB2312"/>
          <w:sz w:val="28"/>
          <w:szCs w:val="28"/>
          <w:highlight w:val="none"/>
          <w:lang w:val="en-US" w:eastAsia="zh-CN"/>
        </w:rPr>
        <w:t>0</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0.67</w:t>
      </w:r>
      <w:r>
        <w:rPr>
          <w:rFonts w:hint="eastAsia" w:ascii="仿宋_GB2312" w:eastAsia="仿宋_GB2312"/>
          <w:sz w:val="28"/>
          <w:szCs w:val="28"/>
          <w:highlight w:val="none"/>
        </w:rPr>
        <w:t>%。</w:t>
      </w:r>
    </w:p>
    <w:p>
      <w:pPr>
        <w:pStyle w:val="2"/>
        <w:ind w:firstLine="0"/>
        <w:jc w:val="center"/>
      </w:pPr>
      <w:r>
        <w:rPr>
          <w:rFonts w:hint="eastAsia" w:ascii="仿宋_GB2312" w:eastAsia="仿宋_GB2312"/>
          <w:color w:val="000000"/>
          <w:sz w:val="32"/>
          <w:szCs w:val="32"/>
          <w:highlight w:val="none"/>
          <w:lang w:val="en-US" w:eastAsia="zh-CN"/>
        </w:rPr>
        <w:t>图1：收入决算</w:t>
      </w:r>
    </w:p>
    <w:p>
      <w:pPr>
        <w:pStyle w:val="3"/>
        <w:ind w:firstLine="420"/>
        <w:jc w:val="center"/>
      </w:pPr>
      <w:r>
        <w:rPr>
          <w:rFonts w:ascii="仿宋_GB2312" w:eastAsia="仿宋_GB2312"/>
          <w:color w:val="000000"/>
          <w:sz w:val="32"/>
        </w:rPr>
        <w:drawing>
          <wp:inline distT="0" distB="0" distL="114300" distR="114300">
            <wp:extent cx="4211955" cy="2155825"/>
            <wp:effectExtent l="4445" t="4445" r="5080" b="1905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3"/>
        <w:ind w:firstLine="420"/>
        <w:jc w:val="center"/>
      </w:pPr>
    </w:p>
    <w:p>
      <w:pPr>
        <w:pStyle w:val="3"/>
        <w:ind w:firstLine="420"/>
        <w:jc w:val="center"/>
      </w:pP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highlight w:val="none"/>
        </w:rPr>
        <w:t>2024年度本年支出合计555.15万元，比上年增加31.55万元，增长6.02%。，其中</w:t>
      </w:r>
      <w:r>
        <w:rPr>
          <w:rFonts w:hint="eastAsia" w:ascii="仿宋_GB2312" w:eastAsia="仿宋_GB2312"/>
          <w:sz w:val="28"/>
          <w:szCs w:val="28"/>
        </w:rPr>
        <w:t>：基本支</w:t>
      </w:r>
      <w:r>
        <w:rPr>
          <w:rFonts w:hint="eastAsia" w:ascii="仿宋_GB2312" w:eastAsia="仿宋_GB2312"/>
          <w:sz w:val="28"/>
          <w:szCs w:val="28"/>
          <w:highlight w:val="none"/>
        </w:rPr>
        <w:t>出</w:t>
      </w:r>
      <w:r>
        <w:rPr>
          <w:rFonts w:ascii="仿宋_GB2312" w:eastAsia="仿宋_GB2312"/>
          <w:sz w:val="28"/>
          <w:szCs w:val="28"/>
          <w:highlight w:val="none"/>
        </w:rPr>
        <w:t>555.15</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100</w:t>
      </w:r>
      <w:r>
        <w:rPr>
          <w:rFonts w:hint="eastAsia" w:ascii="仿宋_GB2312" w:eastAsia="仿宋_GB2312"/>
          <w:sz w:val="28"/>
          <w:szCs w:val="28"/>
          <w:highlight w:val="none"/>
        </w:rPr>
        <w:t>%；项目支出</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%;上缴上级支出</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%；经营支出</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%；对附属单位补助支出</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val="en-US" w:eastAsia="zh-CN"/>
        </w:rPr>
        <w:t>0.00</w:t>
      </w:r>
      <w:r>
        <w:rPr>
          <w:rFonts w:hint="eastAsia" w:ascii="仿宋_GB2312" w:eastAsia="仿宋_GB2312"/>
          <w:sz w:val="28"/>
          <w:szCs w:val="28"/>
          <w:highlight w:val="none"/>
        </w:rPr>
        <w:t>%</w:t>
      </w:r>
      <w:r>
        <w:rPr>
          <w:rFonts w:hint="eastAsia" w:ascii="仿宋_GB2312" w:eastAsia="仿宋_GB2312"/>
          <w:sz w:val="28"/>
          <w:szCs w:val="28"/>
        </w:rPr>
        <w:t>。</w:t>
      </w:r>
    </w:p>
    <w:p>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pPr>
      <w:r>
        <w:rPr>
          <w:rFonts w:ascii="黑体" w:eastAsia="黑体"/>
          <w:b/>
          <w:sz w:val="28"/>
          <w:szCs w:val="28"/>
        </w:rPr>
        <w:drawing>
          <wp:inline distT="0" distB="0" distL="114300" distR="114300">
            <wp:extent cx="3937000" cy="2117725"/>
            <wp:effectExtent l="4445" t="4445" r="5715" b="1143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万元，比上年</w:t>
      </w:r>
      <w:r>
        <w:rPr>
          <w:rFonts w:ascii="仿宋_GB2312" w:eastAsia="仿宋_GB2312"/>
          <w:sz w:val="28"/>
          <w:szCs w:val="28"/>
        </w:rPr>
        <w:t>增加0</w:t>
      </w:r>
      <w:r>
        <w:rPr>
          <w:rFonts w:hint="eastAsia" w:ascii="仿宋_GB2312" w:eastAsia="仿宋_GB2312"/>
          <w:sz w:val="28"/>
          <w:szCs w:val="28"/>
          <w:lang w:val="en-US" w:eastAsia="zh-CN"/>
        </w:rPr>
        <w:t>.00</w:t>
      </w:r>
      <w:r>
        <w:rPr>
          <w:rFonts w:hint="eastAsia" w:ascii="仿宋_GB2312" w:eastAsia="仿宋_GB2312"/>
          <w:sz w:val="28"/>
          <w:szCs w:val="28"/>
        </w:rPr>
        <w:t>万元，增长</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%。主要原因：</w:t>
      </w:r>
      <w:bookmarkStart w:id="1" w:name="OLE_LINK6"/>
      <w:r>
        <w:rPr>
          <w:rFonts w:hint="eastAsia" w:ascii="仿宋_GB2312" w:eastAsia="仿宋_GB2312"/>
          <w:sz w:val="28"/>
          <w:szCs w:val="28"/>
          <w:lang w:eastAsia="zh-CN"/>
        </w:rPr>
        <w:t>本单位</w:t>
      </w:r>
      <w:r>
        <w:rPr>
          <w:rFonts w:hint="eastAsia" w:ascii="仿宋_GB2312" w:eastAsia="仿宋_GB2312"/>
          <w:sz w:val="28"/>
          <w:szCs w:val="28"/>
        </w:rPr>
        <w:t>为自收自支的事业单位，</w:t>
      </w:r>
      <w:bookmarkEnd w:id="1"/>
      <w:r>
        <w:rPr>
          <w:rFonts w:hint="eastAsia" w:ascii="仿宋_GB2312" w:eastAsia="仿宋_GB2312"/>
          <w:sz w:val="28"/>
          <w:szCs w:val="28"/>
        </w:rPr>
        <w:t>无</w:t>
      </w:r>
      <w:bookmarkStart w:id="2" w:name="OLE_LINK8"/>
      <w:r>
        <w:rPr>
          <w:rFonts w:hint="eastAsia" w:ascii="仿宋_GB2312" w:eastAsia="仿宋_GB2312"/>
          <w:sz w:val="28"/>
          <w:szCs w:val="28"/>
        </w:rPr>
        <w:t>财政拨款</w:t>
      </w:r>
      <w:bookmarkEnd w:id="2"/>
      <w:r>
        <w:rPr>
          <w:rFonts w:hint="eastAsia" w:ascii="仿宋_GB2312" w:eastAsia="仿宋_GB2312"/>
          <w:sz w:val="28"/>
          <w:szCs w:val="28"/>
        </w:rPr>
        <w:t>收入。</w:t>
      </w:r>
    </w:p>
    <w:p>
      <w:pPr>
        <w:pStyle w:val="2"/>
        <w:rPr>
          <w:rFonts w:hint="eastAsia"/>
        </w:rPr>
      </w:pP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万元，主要用于以下方面：</w:t>
      </w:r>
      <w:r>
        <w:rPr>
          <w:rFonts w:hint="eastAsia" w:ascii="仿宋_GB2312" w:eastAsia="仿宋_GB2312"/>
          <w:sz w:val="28"/>
          <w:szCs w:val="28"/>
          <w:lang w:eastAsia="zh-CN"/>
        </w:rPr>
        <w:t>无</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tabs>
          <w:tab w:val="center" w:pos="6979"/>
        </w:tabs>
        <w:spacing w:line="580" w:lineRule="exact"/>
        <w:ind w:firstLine="570"/>
        <w:rPr>
          <w:rFonts w:hint="eastAsia"/>
        </w:rPr>
      </w:pPr>
      <w:r>
        <w:rPr>
          <w:rFonts w:hint="eastAsia" w:ascii="仿宋_GB2312" w:eastAsia="仿宋_GB2312"/>
          <w:sz w:val="28"/>
          <w:szCs w:val="28"/>
          <w:lang w:eastAsia="zh-CN"/>
        </w:rPr>
        <w:t>本单位</w:t>
      </w:r>
      <w:r>
        <w:rPr>
          <w:rFonts w:hint="eastAsia" w:ascii="仿宋_GB2312" w:eastAsia="仿宋_GB2312"/>
          <w:sz w:val="28"/>
          <w:szCs w:val="28"/>
        </w:rPr>
        <w:t>无一般公共预算财政拨款支出。</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万元，主要用于以下方面：</w:t>
      </w:r>
      <w:r>
        <w:rPr>
          <w:rFonts w:hint="eastAsia" w:ascii="仿宋_GB2312" w:eastAsia="仿宋_GB2312"/>
          <w:sz w:val="28"/>
          <w:szCs w:val="28"/>
          <w:lang w:eastAsia="zh-CN"/>
        </w:rPr>
        <w:t>无</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pPr>
        <w:tabs>
          <w:tab w:val="center" w:pos="6979"/>
        </w:tabs>
        <w:spacing w:line="580" w:lineRule="exact"/>
        <w:ind w:firstLine="570"/>
        <w:rPr>
          <w:rFonts w:hint="eastAsia"/>
        </w:rPr>
      </w:pPr>
      <w:r>
        <w:rPr>
          <w:rFonts w:hint="eastAsia" w:ascii="仿宋_GB2312" w:eastAsia="仿宋_GB2312"/>
          <w:sz w:val="28"/>
          <w:szCs w:val="28"/>
          <w:lang w:eastAsia="zh-CN"/>
        </w:rPr>
        <w:t>本单位</w:t>
      </w:r>
      <w:r>
        <w:rPr>
          <w:rFonts w:hint="eastAsia" w:ascii="仿宋_GB2312" w:eastAsia="仿宋_GB2312"/>
          <w:sz w:val="28"/>
          <w:szCs w:val="28"/>
        </w:rPr>
        <w:t>无政府性基金预算财政拨款</w:t>
      </w:r>
      <w:r>
        <w:rPr>
          <w:rFonts w:hint="eastAsia" w:ascii="仿宋_GB2312" w:eastAsia="仿宋_GB2312"/>
          <w:sz w:val="28"/>
          <w:szCs w:val="28"/>
          <w:lang w:eastAsia="zh-CN"/>
        </w:rPr>
        <w:t>支出</w:t>
      </w:r>
      <w:r>
        <w:rPr>
          <w:rFonts w:hint="eastAsia" w:ascii="仿宋_GB2312" w:eastAsia="仿宋_GB2312"/>
          <w:sz w:val="28"/>
          <w:szCs w:val="28"/>
        </w:rPr>
        <w:t>。</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202</w:t>
      </w:r>
      <w:r>
        <w:rPr>
          <w:rFonts w:hint="eastAsia" w:ascii="仿宋_GB2312" w:eastAsia="仿宋_GB2312"/>
          <w:sz w:val="28"/>
          <w:szCs w:val="28"/>
          <w:lang w:val="en-US" w:eastAsia="zh-CN"/>
        </w:rPr>
        <w:t>4</w:t>
      </w:r>
      <w:r>
        <w:rPr>
          <w:rFonts w:hint="eastAsia" w:ascii="仿宋_GB2312" w:eastAsia="仿宋_GB2312"/>
          <w:sz w:val="28"/>
          <w:szCs w:val="28"/>
          <w:lang w:eastAsia="zh-CN"/>
        </w:rPr>
        <w:t>年度国有资本经营预算财政拨款收入总计0</w:t>
      </w:r>
      <w:r>
        <w:rPr>
          <w:rFonts w:hint="eastAsia" w:ascii="仿宋_GB2312" w:eastAsia="仿宋_GB2312"/>
          <w:sz w:val="28"/>
          <w:szCs w:val="28"/>
          <w:lang w:val="en-US" w:eastAsia="zh-CN"/>
        </w:rPr>
        <w:t>.00</w:t>
      </w:r>
      <w:r>
        <w:rPr>
          <w:rFonts w:hint="eastAsia" w:ascii="仿宋_GB2312" w:eastAsia="仿宋_GB2312"/>
          <w:sz w:val="28"/>
          <w:szCs w:val="28"/>
          <w:lang w:eastAsia="zh-CN"/>
        </w:rPr>
        <w:t>万元，国有资本经营预算财政拨款支出总计0</w:t>
      </w:r>
      <w:r>
        <w:rPr>
          <w:rFonts w:hint="eastAsia" w:ascii="仿宋_GB2312" w:eastAsia="仿宋_GB2312"/>
          <w:sz w:val="28"/>
          <w:szCs w:val="28"/>
          <w:lang w:val="en-US" w:eastAsia="zh-CN"/>
        </w:rPr>
        <w:t>.00</w:t>
      </w:r>
      <w:r>
        <w:rPr>
          <w:rFonts w:hint="eastAsia" w:ascii="仿宋_GB2312" w:eastAsia="仿宋_GB2312"/>
          <w:sz w:val="28"/>
          <w:szCs w:val="28"/>
          <w:lang w:eastAsia="zh-CN"/>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w:t>
      </w:r>
      <w:r>
        <w:rPr>
          <w:rFonts w:ascii="仿宋_GB2312" w:eastAsia="仿宋_GB2312"/>
          <w:sz w:val="28"/>
          <w:szCs w:val="28"/>
        </w:rPr>
        <w:t>。</w:t>
      </w:r>
    </w:p>
    <w:p>
      <w:pPr>
        <w:tabs>
          <w:tab w:val="center" w:pos="6979"/>
        </w:tabs>
        <w:jc w:val="both"/>
        <w:rPr>
          <w:rFonts w:hint="eastAsia" w:ascii="宋体" w:hAnsi="宋体" w:cs="宋体"/>
          <w:b/>
          <w:bCs/>
          <w:spacing w:val="40"/>
          <w:kern w:val="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万元增加</w:t>
      </w:r>
      <w:r>
        <w:rPr>
          <w:rFonts w:hint="eastAsia" w:ascii="仿宋_GB2312" w:eastAsia="仿宋_GB2312"/>
          <w:sz w:val="28"/>
          <w:szCs w:val="28"/>
          <w:lang w:val="en-US" w:eastAsia="zh-CN"/>
        </w:rPr>
        <w:t>0.00</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0.00</w:t>
      </w:r>
      <w:r>
        <w:rPr>
          <w:rFonts w:hint="eastAsia" w:ascii="仿宋_GB2312" w:eastAsia="仿宋_GB2312"/>
          <w:sz w:val="28"/>
          <w:szCs w:val="28"/>
        </w:rPr>
        <w:t>万元增加</w:t>
      </w:r>
      <w:r>
        <w:rPr>
          <w:rFonts w:hint="eastAsia" w:ascii="仿宋_GB2312" w:eastAsia="仿宋_GB2312"/>
          <w:sz w:val="28"/>
          <w:szCs w:val="28"/>
          <w:lang w:val="en-US" w:eastAsia="zh-CN"/>
        </w:rPr>
        <w:t>0.00</w:t>
      </w:r>
      <w:r>
        <w:rPr>
          <w:rFonts w:hint="eastAsia" w:ascii="仿宋_GB2312" w:eastAsia="仿宋_GB2312"/>
          <w:sz w:val="28"/>
          <w:szCs w:val="28"/>
        </w:rPr>
        <w:t>万元。主要原因：</w:t>
      </w:r>
      <w:r>
        <w:rPr>
          <w:rFonts w:hint="eastAsia" w:ascii="仿宋_GB2312" w:eastAsia="仿宋_GB2312"/>
          <w:sz w:val="28"/>
          <w:szCs w:val="28"/>
          <w:lang w:eastAsia="zh-CN"/>
        </w:rPr>
        <w:t>本单位无此项经费</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年度因公出国（境）费用主要用于</w:t>
      </w:r>
      <w:r>
        <w:rPr>
          <w:rFonts w:hint="eastAsia" w:ascii="仿宋_GB2312" w:eastAsia="仿宋_GB2312"/>
          <w:sz w:val="28"/>
          <w:szCs w:val="28"/>
          <w:lang w:eastAsia="zh-CN"/>
        </w:rPr>
        <w:t>：无</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0.00</w:t>
      </w:r>
      <w:r>
        <w:rPr>
          <w:rFonts w:hint="eastAsia" w:ascii="仿宋_GB2312" w:eastAsia="仿宋_GB2312"/>
          <w:sz w:val="28"/>
          <w:szCs w:val="28"/>
        </w:rPr>
        <w:t>万元增加</w:t>
      </w:r>
      <w:r>
        <w:rPr>
          <w:rFonts w:hint="eastAsia" w:ascii="仿宋_GB2312" w:eastAsia="仿宋_GB2312"/>
          <w:sz w:val="28"/>
          <w:szCs w:val="28"/>
          <w:lang w:val="en-US" w:eastAsia="zh-CN"/>
        </w:rPr>
        <w:t>0.00</w:t>
      </w:r>
      <w:r>
        <w:rPr>
          <w:rFonts w:hint="eastAsia" w:ascii="仿宋_GB2312" w:eastAsia="仿宋_GB2312"/>
          <w:sz w:val="28"/>
          <w:szCs w:val="28"/>
        </w:rPr>
        <w:t>万元。主要原因：</w:t>
      </w:r>
      <w:r>
        <w:rPr>
          <w:rFonts w:hint="eastAsia" w:ascii="仿宋_GB2312" w:eastAsia="仿宋_GB2312"/>
          <w:sz w:val="28"/>
          <w:szCs w:val="28"/>
          <w:lang w:eastAsia="zh-CN"/>
        </w:rPr>
        <w:t>本单位无此项经费</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年度公务接待费主要用于</w:t>
      </w:r>
      <w:r>
        <w:rPr>
          <w:rFonts w:hint="eastAsia" w:ascii="仿宋_GB2312" w:eastAsia="仿宋_GB2312"/>
          <w:sz w:val="28"/>
          <w:szCs w:val="28"/>
          <w:lang w:eastAsia="zh-CN"/>
        </w:rPr>
        <w:t>：无</w:t>
      </w:r>
      <w:r>
        <w:rPr>
          <w:rFonts w:hint="eastAsia" w:ascii="仿宋_GB2312" w:eastAsia="仿宋_GB2312"/>
          <w:sz w:val="28"/>
          <w:szCs w:val="28"/>
        </w:rPr>
        <w:t>。公务接待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0.00</w:t>
      </w:r>
      <w:r>
        <w:rPr>
          <w:rFonts w:hint="eastAsia" w:ascii="仿宋_GB2312" w:eastAsia="仿宋_GB2312"/>
          <w:sz w:val="28"/>
          <w:szCs w:val="28"/>
        </w:rPr>
        <w:t>万元增加</w:t>
      </w:r>
      <w:r>
        <w:rPr>
          <w:rFonts w:hint="eastAsia" w:ascii="仿宋_GB2312" w:eastAsia="仿宋_GB2312"/>
          <w:sz w:val="28"/>
          <w:szCs w:val="28"/>
          <w:lang w:val="en-US" w:eastAsia="zh-CN"/>
        </w:rPr>
        <w:t>0.00</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万元，主要原因：</w:t>
      </w:r>
      <w:r>
        <w:rPr>
          <w:rFonts w:hint="eastAsia" w:ascii="仿宋_GB2312" w:eastAsia="仿宋_GB2312"/>
          <w:sz w:val="28"/>
          <w:szCs w:val="28"/>
          <w:lang w:eastAsia="zh-CN"/>
        </w:rPr>
        <w:t>本单位无此项经费</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万元，主要原因：</w:t>
      </w:r>
      <w:r>
        <w:rPr>
          <w:rFonts w:hint="eastAsia" w:ascii="仿宋_GB2312" w:eastAsia="仿宋_GB2312"/>
          <w:sz w:val="28"/>
          <w:szCs w:val="28"/>
          <w:lang w:eastAsia="zh-CN"/>
        </w:rPr>
        <w:t>本单位无此项经费</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0</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0.00</w:t>
      </w:r>
      <w:r>
        <w:rPr>
          <w:rFonts w:hint="eastAsia" w:ascii="仿宋_GB2312" w:eastAsia="仿宋_GB2312"/>
          <w:sz w:val="28"/>
          <w:szCs w:val="28"/>
        </w:rPr>
        <w:t>万元，比上年增加</w:t>
      </w:r>
      <w:r>
        <w:rPr>
          <w:rFonts w:hint="eastAsia" w:ascii="仿宋_GB2312" w:eastAsia="仿宋_GB2312"/>
          <w:sz w:val="28"/>
          <w:szCs w:val="28"/>
          <w:lang w:val="en-US" w:eastAsia="zh-CN"/>
        </w:rPr>
        <w:t>0.00</w:t>
      </w:r>
      <w:r>
        <w:rPr>
          <w:rFonts w:hint="eastAsia" w:ascii="仿宋_GB2312" w:eastAsia="仿宋_GB2312"/>
          <w:sz w:val="28"/>
          <w:szCs w:val="28"/>
        </w:rPr>
        <w:t>万元，增加原因：我单位不在机关运行经费统计范围之内。</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hint="eastAsia" w:ascii="仿宋_GB2312" w:eastAsia="仿宋_GB2312"/>
          <w:sz w:val="28"/>
          <w:szCs w:val="28"/>
          <w:lang w:val="en-US" w:eastAsia="zh-CN"/>
        </w:rPr>
        <w:t>0.00</w:t>
      </w:r>
      <w:r>
        <w:rPr>
          <w:rFonts w:hint="eastAsia" w:ascii="仿宋_GB2312" w:eastAsia="仿宋_GB2312"/>
          <w:sz w:val="28"/>
          <w:szCs w:val="28"/>
        </w:rPr>
        <w:t>万元，其中：政府采购货物支出</w:t>
      </w:r>
      <w:r>
        <w:rPr>
          <w:rFonts w:hint="eastAsia" w:ascii="仿宋_GB2312" w:eastAsia="仿宋_GB2312"/>
          <w:sz w:val="28"/>
          <w:szCs w:val="28"/>
          <w:lang w:val="en-US" w:eastAsia="zh-CN"/>
        </w:rPr>
        <w:t>0.00</w:t>
      </w:r>
      <w:r>
        <w:rPr>
          <w:rFonts w:hint="eastAsia" w:ascii="仿宋_GB2312" w:eastAsia="仿宋_GB2312"/>
          <w:sz w:val="28"/>
          <w:szCs w:val="28"/>
        </w:rPr>
        <w:t>万元，政府采购工程支出</w:t>
      </w:r>
      <w:r>
        <w:rPr>
          <w:rFonts w:hint="eastAsia" w:ascii="仿宋_GB2312" w:eastAsia="仿宋_GB2312"/>
          <w:sz w:val="28"/>
          <w:szCs w:val="28"/>
          <w:lang w:val="en-US" w:eastAsia="zh-CN"/>
        </w:rPr>
        <w:t>0.00</w:t>
      </w:r>
      <w:r>
        <w:rPr>
          <w:rFonts w:hint="eastAsia" w:ascii="仿宋_GB2312" w:eastAsia="仿宋_GB2312"/>
          <w:sz w:val="28"/>
          <w:szCs w:val="28"/>
        </w:rPr>
        <w:t>万元，政府采购服务支出</w:t>
      </w:r>
      <w:r>
        <w:rPr>
          <w:rFonts w:hint="eastAsia" w:ascii="仿宋_GB2312" w:eastAsia="仿宋_GB2312"/>
          <w:sz w:val="28"/>
          <w:szCs w:val="28"/>
          <w:lang w:val="en-US" w:eastAsia="zh-CN"/>
        </w:rPr>
        <w:t>0.00</w:t>
      </w:r>
      <w:r>
        <w:rPr>
          <w:rFonts w:hint="eastAsia" w:ascii="仿宋_GB2312" w:eastAsia="仿宋_GB2312"/>
          <w:sz w:val="28"/>
          <w:szCs w:val="28"/>
        </w:rPr>
        <w:t>万元。授予中小企业合同金额</w:t>
      </w:r>
      <w:r>
        <w:rPr>
          <w:rFonts w:hint="eastAsia" w:ascii="仿宋_GB2312" w:eastAsia="仿宋_GB2312"/>
          <w:sz w:val="28"/>
          <w:szCs w:val="28"/>
          <w:lang w:val="en-US" w:eastAsia="zh-CN"/>
        </w:rPr>
        <w:t>0.00</w:t>
      </w:r>
      <w:r>
        <w:rPr>
          <w:rFonts w:hint="eastAsia" w:ascii="仿宋_GB2312" w:eastAsia="仿宋_GB2312"/>
          <w:sz w:val="28"/>
          <w:szCs w:val="28"/>
        </w:rPr>
        <w:t>万元，占政府采购支出总额的</w:t>
      </w:r>
      <w:r>
        <w:rPr>
          <w:rFonts w:hint="eastAsia" w:ascii="仿宋_GB2312" w:eastAsia="仿宋_GB2312"/>
          <w:sz w:val="28"/>
          <w:szCs w:val="28"/>
          <w:lang w:val="en-US" w:eastAsia="zh-CN"/>
        </w:rPr>
        <w:t>0.00</w:t>
      </w:r>
      <w:r>
        <w:rPr>
          <w:rFonts w:hint="eastAsia" w:ascii="仿宋_GB2312" w:eastAsia="仿宋_GB2312"/>
          <w:sz w:val="28"/>
          <w:szCs w:val="28"/>
        </w:rPr>
        <w:t>%，其中：授予小微企业合同金额</w:t>
      </w:r>
      <w:r>
        <w:rPr>
          <w:rFonts w:hint="eastAsia" w:ascii="仿宋_GB2312" w:eastAsia="仿宋_GB2312"/>
          <w:sz w:val="28"/>
          <w:szCs w:val="28"/>
          <w:lang w:val="en-US" w:eastAsia="zh-CN"/>
        </w:rPr>
        <w:t>0.00</w:t>
      </w:r>
      <w:r>
        <w:rPr>
          <w:rFonts w:hint="eastAsia" w:ascii="仿宋_GB2312" w:eastAsia="仿宋_GB2312"/>
          <w:sz w:val="28"/>
          <w:szCs w:val="28"/>
        </w:rPr>
        <w:t>万元，占政府采购支出总额的</w:t>
      </w:r>
      <w:r>
        <w:rPr>
          <w:rFonts w:hint="eastAsia" w:ascii="仿宋_GB2312" w:eastAsia="仿宋_GB2312"/>
          <w:sz w:val="28"/>
          <w:szCs w:val="28"/>
          <w:lang w:val="en-US" w:eastAsia="zh-CN"/>
        </w:rPr>
        <w:t>0.00</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12月31日，北京市大兴区建设工程发包承包交易中心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lang w:val="en-US" w:eastAsia="zh-CN"/>
        </w:rPr>
        <w:t>.00</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rPr>
          <w:rFonts w:hint="eastAsia" w:ascii="仿宋_GB2312" w:eastAsia="仿宋_GB2312"/>
          <w:sz w:val="28"/>
          <w:szCs w:val="28"/>
          <w:highlight w:val="none"/>
          <w:lang w:eastAsia="zh-CN"/>
        </w:rPr>
      </w:pPr>
      <w:r>
        <w:rPr>
          <w:rFonts w:hint="eastAsia" w:ascii="仿宋_GB2312" w:eastAsia="仿宋_GB2312"/>
          <w:sz w:val="28"/>
          <w:szCs w:val="28"/>
          <w:lang w:val="en-US" w:eastAsia="zh-CN"/>
        </w:rPr>
        <w:t xml:space="preserve">   7.</w:t>
      </w:r>
      <w:r>
        <w:rPr>
          <w:rFonts w:hint="eastAsia" w:ascii="仿宋_GB2312" w:eastAsia="仿宋_GB2312"/>
          <w:sz w:val="28"/>
          <w:szCs w:val="28"/>
        </w:rPr>
        <w:t>社会保障和就业支出（类）行政事业单位养老支出（款）</w:t>
      </w:r>
      <w:r>
        <w:rPr>
          <w:rFonts w:hint="eastAsia" w:ascii="仿宋_GB2312" w:eastAsia="仿宋_GB2312"/>
          <w:sz w:val="28"/>
          <w:szCs w:val="28"/>
          <w:highlight w:val="none"/>
          <w:lang w:eastAsia="zh-CN"/>
        </w:rPr>
        <w:t>事业单位离退休（项）：反映事业单位开支的离退休经费。</w:t>
      </w:r>
      <w:bookmarkStart w:id="3" w:name="_GoBack"/>
      <w:bookmarkEnd w:id="3"/>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8.</w:t>
      </w:r>
      <w:r>
        <w:rPr>
          <w:rFonts w:hint="eastAsia" w:ascii="仿宋_GB2312" w:eastAsia="仿宋_GB2312"/>
          <w:sz w:val="28"/>
          <w:szCs w:val="28"/>
          <w:highlight w:val="none"/>
        </w:rPr>
        <w:t>社会保障和就业支出（类）行政事业单位养老支出（款）</w:t>
      </w:r>
      <w:r>
        <w:rPr>
          <w:rFonts w:hint="eastAsia" w:ascii="仿宋_GB2312" w:eastAsia="仿宋_GB2312"/>
          <w:sz w:val="28"/>
          <w:szCs w:val="28"/>
          <w:highlight w:val="none"/>
          <w:lang w:eastAsia="zh-CN"/>
        </w:rPr>
        <w:t>机关事业单位基本养老保险缴费支出（项）：反映机关事业单位实施养老保险制度由单位实际缴纳的基本养老保险费支出。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9.</w:t>
      </w:r>
      <w:r>
        <w:rPr>
          <w:rFonts w:hint="eastAsia" w:ascii="仿宋_GB2312" w:eastAsia="仿宋_GB2312"/>
          <w:sz w:val="28"/>
          <w:szCs w:val="28"/>
          <w:highlight w:val="none"/>
        </w:rPr>
        <w:t>社会保障和就业支出（类）行政事业单位养老支出（款）</w:t>
      </w:r>
      <w:r>
        <w:rPr>
          <w:rFonts w:hint="eastAsia" w:ascii="仿宋_GB2312" w:eastAsia="仿宋_GB2312"/>
          <w:sz w:val="28"/>
          <w:szCs w:val="28"/>
          <w:highlight w:val="none"/>
          <w:lang w:eastAsia="zh-CN"/>
        </w:rPr>
        <w:t>机关事业单位职业年金缴费支出（项）：反映机关事业单位实施养老保险制度由单位实际缴纳的职业年金支出。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10.</w:t>
      </w:r>
      <w:r>
        <w:rPr>
          <w:rFonts w:hint="eastAsia" w:ascii="仿宋_GB2312" w:eastAsia="仿宋_GB2312"/>
          <w:sz w:val="28"/>
          <w:szCs w:val="28"/>
          <w:highlight w:val="none"/>
          <w:lang w:eastAsia="zh-CN"/>
        </w:rPr>
        <w:t>卫生健康支出（类）行政事业单位医疗（款）事业单位医疗（项）：反映财政部门安排的事业单位基本医疗保险缴费经费，未参加医疗保险的行政单位的公费医疗经费，按国家规定享受离休人员待遇的医疗经费。</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11.</w:t>
      </w:r>
      <w:r>
        <w:rPr>
          <w:rFonts w:hint="eastAsia" w:ascii="仿宋_GB2312" w:eastAsia="仿宋_GB2312"/>
          <w:sz w:val="28"/>
          <w:szCs w:val="28"/>
          <w:highlight w:val="none"/>
          <w:lang w:eastAsia="zh-CN"/>
        </w:rPr>
        <w:t>城乡社区支出（类）城乡社区管理事务（款）住宅建设与房地产市场监管（项）：反映调控建设市场运行、研究拟定城镇住房制度改革法规、对住房公积金和其他房改资金进行政策指导并监督使用等方面的支出。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12.</w:t>
      </w:r>
      <w:r>
        <w:rPr>
          <w:rFonts w:hint="eastAsia" w:ascii="仿宋_GB2312" w:eastAsia="仿宋_GB2312"/>
          <w:sz w:val="28"/>
          <w:szCs w:val="28"/>
          <w:highlight w:val="none"/>
          <w:lang w:eastAsia="zh-CN"/>
        </w:rPr>
        <w:t>城乡社区支出（类）城乡社区管理事务（款）其他城乡社区管理事务支出（项）：反映除上述项目以外其他用于城乡社区管理事务方面的支出。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13.</w:t>
      </w:r>
      <w:r>
        <w:rPr>
          <w:rFonts w:hint="eastAsia" w:ascii="仿宋_GB2312" w:eastAsia="仿宋_GB2312"/>
          <w:sz w:val="28"/>
          <w:szCs w:val="28"/>
          <w:highlight w:val="none"/>
          <w:lang w:eastAsia="zh-CN"/>
        </w:rPr>
        <w:t>城乡社区支出（类）其他城乡社区支出（款）其他城乡社区支出（项）：反映出上述项目以外其他用于城乡社区方面的支出。</w:t>
      </w:r>
    </w:p>
    <w:p>
      <w:pPr>
        <w:pStyle w:val="2"/>
        <w:rPr>
          <w:rFonts w:hint="eastAsia"/>
          <w:lang w:eastAsia="zh-CN"/>
        </w:rPr>
      </w:pPr>
    </w:p>
    <w:p>
      <w:pPr>
        <w:pStyle w:val="2"/>
        <w:rPr>
          <w:rFonts w:hint="eastAsia"/>
          <w:lang w:eastAsia="zh-CN"/>
        </w:rPr>
      </w:pPr>
    </w:p>
    <w:p>
      <w:pPr>
        <w:pStyle w:val="2"/>
        <w:rPr>
          <w:rFonts w:hint="eastAsia"/>
          <w:lang w:eastAsia="zh-CN"/>
        </w:rPr>
      </w:pP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ind w:firstLine="560" w:firstLineChars="200"/>
        <w:rPr>
          <w:rFonts w:hint="eastAsia" w:ascii="黑体" w:eastAsia="黑体"/>
          <w:sz w:val="28"/>
          <w:szCs w:val="28"/>
          <w:highlight w:val="yellow"/>
        </w:rPr>
      </w:pPr>
      <w:r>
        <w:rPr>
          <w:rFonts w:hint="eastAsia" w:ascii="黑体" w:eastAsia="黑体"/>
          <w:sz w:val="28"/>
          <w:szCs w:val="28"/>
        </w:rPr>
        <w:t>基本情况</w:t>
      </w:r>
      <w:r>
        <w:rPr>
          <w:rFonts w:hint="eastAsia" w:ascii="黑体" w:eastAsia="黑体"/>
          <w:sz w:val="28"/>
          <w:szCs w:val="28"/>
          <w:lang w:eastAsia="zh-CN"/>
        </w:rPr>
        <w:t>：</w:t>
      </w: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4年度</w:t>
      </w:r>
      <w:r>
        <w:rPr>
          <w:rFonts w:hint="eastAsia" w:ascii="仿宋_GB2312" w:hAnsi="仿宋_GB2312" w:eastAsia="仿宋_GB2312" w:cs="仿宋_GB2312"/>
          <w:sz w:val="28"/>
          <w:szCs w:val="28"/>
        </w:rPr>
        <w:t>，北京市大兴区建设工程发包承包交易中心</w:t>
      </w:r>
      <w:r>
        <w:rPr>
          <w:rFonts w:hint="eastAsia" w:ascii="仿宋_GB2312" w:hAnsi="仿宋_GB2312" w:eastAsia="仿宋_GB2312" w:cs="仿宋_GB2312"/>
          <w:sz w:val="28"/>
          <w:szCs w:val="28"/>
          <w:lang w:eastAsia="zh-CN"/>
        </w:rPr>
        <w:t>未发生项目支出，未实施绩效评价，</w:t>
      </w:r>
      <w:r>
        <w:rPr>
          <w:rFonts w:hint="eastAsia" w:ascii="仿宋_GB2312" w:hAnsi="仿宋_GB2312" w:eastAsia="仿宋_GB2312" w:cs="仿宋_GB2312"/>
          <w:sz w:val="28"/>
          <w:szCs w:val="28"/>
        </w:rPr>
        <w:t>填报绩效目标的预算项目0 个。</w:t>
      </w: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Noto Sans CJK JP Bold">
    <w:altName w:val="宋体"/>
    <w:panose1 w:val="020B0800000000000000"/>
    <w:charset w:val="86"/>
    <w:family w:val="auto"/>
    <w:pitch w:val="default"/>
    <w:sig w:usb0="00000000" w:usb1="00000000" w:usb2="00000016" w:usb3="00000000" w:csb0="602E0107" w:csb1="00000000"/>
  </w:font>
  <w:font w:name="微软雅黑">
    <w:panose1 w:val="020B0503020204020204"/>
    <w:charset w:val="86"/>
    <w:family w:val="auto"/>
    <w:pitch w:val="default"/>
    <w:sig w:usb0="80000287" w:usb1="280F3C52" w:usb2="00000016" w:usb3="00000000" w:csb0="0004001F"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黑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黑体_GBK">
    <w:altName w:val="微软雅黑"/>
    <w:panose1 w:val="03000509000000000000"/>
    <w:charset w:val="86"/>
    <w:family w:val="auto"/>
    <w:pitch w:val="default"/>
    <w:sig w:usb0="00000000" w:usb1="00000000" w:usb2="00000000" w:usb3="00000000" w:csb0="00040000" w:csb1="00000000"/>
  </w:font>
  <w:font w:name="Noto Sans SC">
    <w:altName w:val="宋体"/>
    <w:panose1 w:val="020B0200000000000000"/>
    <w:charset w:val="86"/>
    <w:family w:val="auto"/>
    <w:pitch w:val="default"/>
    <w:sig w:usb0="00000000" w:usb1="00000000" w:usb2="00000016" w:usb3="00000000" w:csb0="60060107" w:csb1="00000000"/>
  </w:font>
  <w:font w:name="方正黑体_GBK">
    <w:altName w:val="微软雅黑"/>
    <w:panose1 w:val="02000000000000000000"/>
    <w:charset w:val="86"/>
    <w:family w:val="auto"/>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15</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58851957">
    <w:nsid w:val="68D5F375"/>
    <w:multiLevelType w:val="singleLevel"/>
    <w:tmpl w:val="68D5F375"/>
    <w:lvl w:ilvl="0" w:tentative="1">
      <w:start w:val="2"/>
      <w:numFmt w:val="chineseCounting"/>
      <w:suff w:val="nothing"/>
      <w:lvlText w:val="（%1）"/>
      <w:lvlJc w:val="left"/>
    </w:lvl>
  </w:abstractNum>
  <w:num w:numId="1">
    <w:abstractNumId w:val="17588519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542F2C"/>
    <w:rsid w:val="0F8E2C57"/>
    <w:rsid w:val="1059665E"/>
    <w:rsid w:val="10AC13BA"/>
    <w:rsid w:val="145A6C1B"/>
    <w:rsid w:val="14B73493"/>
    <w:rsid w:val="167A2FF9"/>
    <w:rsid w:val="1764587C"/>
    <w:rsid w:val="18581C69"/>
    <w:rsid w:val="1AEC0734"/>
    <w:rsid w:val="1DEF20B0"/>
    <w:rsid w:val="1FF7AB17"/>
    <w:rsid w:val="214243FA"/>
    <w:rsid w:val="21AD613C"/>
    <w:rsid w:val="22467189"/>
    <w:rsid w:val="257A14F5"/>
    <w:rsid w:val="258F1E77"/>
    <w:rsid w:val="26B42B53"/>
    <w:rsid w:val="27196C26"/>
    <w:rsid w:val="29EF086F"/>
    <w:rsid w:val="2BC34C59"/>
    <w:rsid w:val="2EFFE297"/>
    <w:rsid w:val="301437CA"/>
    <w:rsid w:val="349D1F0A"/>
    <w:rsid w:val="34DD0473"/>
    <w:rsid w:val="3A8E35DC"/>
    <w:rsid w:val="3C684897"/>
    <w:rsid w:val="433E495C"/>
    <w:rsid w:val="489F2FD7"/>
    <w:rsid w:val="4AC27CB3"/>
    <w:rsid w:val="4BF72BEF"/>
    <w:rsid w:val="4FA90297"/>
    <w:rsid w:val="4FC41A43"/>
    <w:rsid w:val="51DB3C59"/>
    <w:rsid w:val="524E21C1"/>
    <w:rsid w:val="550C0952"/>
    <w:rsid w:val="55762E42"/>
    <w:rsid w:val="57A7B272"/>
    <w:rsid w:val="58470068"/>
    <w:rsid w:val="58747CAC"/>
    <w:rsid w:val="5A1720F9"/>
    <w:rsid w:val="5B9C37C2"/>
    <w:rsid w:val="5BA7C654"/>
    <w:rsid w:val="5DF716AE"/>
    <w:rsid w:val="5F9F507E"/>
    <w:rsid w:val="60A54109"/>
    <w:rsid w:val="61D01CDF"/>
    <w:rsid w:val="643F3F45"/>
    <w:rsid w:val="64C0607C"/>
    <w:rsid w:val="65756C86"/>
    <w:rsid w:val="674D385B"/>
    <w:rsid w:val="676F09E1"/>
    <w:rsid w:val="71691990"/>
    <w:rsid w:val="71793A80"/>
    <w:rsid w:val="7357290B"/>
    <w:rsid w:val="756E3DEA"/>
    <w:rsid w:val="76FB1693"/>
    <w:rsid w:val="798524E4"/>
    <w:rsid w:val="7A7F1C49"/>
    <w:rsid w:val="7B5B7AE6"/>
    <w:rsid w:val="7B7B6628"/>
    <w:rsid w:val="7BA7071E"/>
    <w:rsid w:val="7BDF6DA8"/>
    <w:rsid w:val="7C7EDC1A"/>
    <w:rsid w:val="7CCED98D"/>
    <w:rsid w:val="7D08410F"/>
    <w:rsid w:val="7DB96DED"/>
    <w:rsid w:val="7DD3AD81"/>
    <w:rsid w:val="7DFFF77E"/>
    <w:rsid w:val="7F53A862"/>
    <w:rsid w:val="7F7FE70F"/>
    <w:rsid w:val="7FDF365A"/>
    <w:rsid w:val="7FEC8BC6"/>
    <w:rsid w:val="7FFF772F"/>
    <w:rsid w:val="95F35EF6"/>
    <w:rsid w:val="9BFFD860"/>
    <w:rsid w:val="A77B4E4D"/>
    <w:rsid w:val="AC5F73DE"/>
    <w:rsid w:val="B5DDD2C8"/>
    <w:rsid w:val="B9DFABD9"/>
    <w:rsid w:val="BC0D83FC"/>
    <w:rsid w:val="BF3BDEFB"/>
    <w:rsid w:val="BFB7A454"/>
    <w:rsid w:val="C75F6086"/>
    <w:rsid w:val="C7F7ED2D"/>
    <w:rsid w:val="CFAF854E"/>
    <w:rsid w:val="D8D7928E"/>
    <w:rsid w:val="D8FE3136"/>
    <w:rsid w:val="DDDE60B7"/>
    <w:rsid w:val="DE9F6A22"/>
    <w:rsid w:val="DF4FCE6A"/>
    <w:rsid w:val="DFD6CE7C"/>
    <w:rsid w:val="DFE93440"/>
    <w:rsid w:val="DFEF5C84"/>
    <w:rsid w:val="E4FED278"/>
    <w:rsid w:val="EDAA365C"/>
    <w:rsid w:val="EDADFC12"/>
    <w:rsid w:val="F2FD229B"/>
    <w:rsid w:val="F65F79E2"/>
    <w:rsid w:val="F776A00A"/>
    <w:rsid w:val="F7F709E9"/>
    <w:rsid w:val="F7FF3690"/>
    <w:rsid w:val="F9BD3900"/>
    <w:rsid w:val="FBF76749"/>
    <w:rsid w:val="FC8B9876"/>
    <w:rsid w:val="FCBFBAB5"/>
    <w:rsid w:val="FEDFF218"/>
    <w:rsid w:val="FEDFFFFF"/>
    <w:rsid w:val="FFBF8D1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0">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1">
    <w:name w:val="Strong"/>
    <w:qFormat/>
    <w:uiPriority w:val="0"/>
    <w:rPr>
      <w:b/>
    </w:rPr>
  </w:style>
  <w:style w:type="character" w:styleId="12">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 w:type="character" w:customStyle="1" w:styleId="20">
    <w:name w:val="font11"/>
    <w:basedOn w:val="10"/>
    <w:uiPriority w:val="0"/>
    <w:rPr>
      <w:rFonts w:hint="eastAsia" w:ascii="宋体" w:hAnsi="宋体" w:eastAsia="宋体" w:cs="宋体"/>
      <w:color w:val="000000"/>
      <w:sz w:val="18"/>
      <w:szCs w:val="18"/>
      <w:u w:val="none"/>
    </w:rPr>
  </w:style>
  <w:style w:type="character" w:customStyle="1" w:styleId="21">
    <w:name w:val="font01"/>
    <w:basedOn w:val="10"/>
    <w:qFormat/>
    <w:uiPriority w:val="0"/>
    <w:rPr>
      <w:rFonts w:hint="eastAsia" w:ascii="宋体" w:hAnsi="宋体" w:eastAsia="宋体" w:cs="宋体"/>
      <w:color w:val="000000"/>
      <w:sz w:val="13"/>
      <w:szCs w:val="13"/>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C:\000&#25215;&#21457;&#21253;--&#20915;&#31639;&#33609;&#26696; 2025.06\&#39292;&#29366;&#22270;&#29983;&#25104;&#21442;&#3277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C:\000&#25215;&#21457;&#21253;--&#20915;&#31639;&#33609;&#26696; 2025.06\&#39292;&#29366;&#22270;&#29983;&#25104;&#21442;&#3277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horzOverflow="overflow" vert="horz" wrap="square" anchor="ctr" anchorCtr="1"/>
        <a:lstStyle/>
        <a:p>
          <a:pPr>
            <a:defRPr lang="zh-CN" sz="1400" b="0" i="0" u="none" strike="noStrike" kern="1200" baseline="0">
              <a:solidFill>
                <a:srgbClr val="333333"/>
              </a:solidFill>
              <a:latin typeface="宋体" charset="-122"/>
              <a:ea typeface="宋体" charset="-122"/>
              <a:cs typeface="宋体" charset="-122"/>
            </a:defRPr>
          </a:pPr>
        </a:p>
      </c:txPr>
    </c:title>
    <c:autoTitleDeleted val="0"/>
    <c:plotArea>
      <c:layout/>
      <c:pieChart>
        <c:varyColors val="1"/>
        <c:ser>
          <c:idx val="0"/>
          <c:order val="0"/>
          <c:tx>
            <c:strRef>
              <c:f>Sheet1!$B$1</c:f>
              <c:strCache>
                <c:ptCount val="1"/>
                <c:pt idx="0">
                  <c:v>收入决算</c:v>
                </c:pt>
              </c:strCache>
            </c:strRef>
          </c:tx>
          <c:spPr>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rgbClr val="333333"/>
                    </a:solidFill>
                    <a:latin typeface="宋体" charset="-122"/>
                    <a:ea typeface="宋体" charset="-122"/>
                    <a:cs typeface="宋体" charset="-122"/>
                  </a:defRPr>
                </a:pPr>
              </a:p>
            </c:txPr>
            <c:dLblPos val="bestFit"/>
            <c:showLegendKey val="1"/>
            <c:showVal val="1"/>
            <c:showCatName val="1"/>
            <c:showSerName val="1"/>
            <c:showPercent val="1"/>
            <c:showBubbleSize val="1"/>
            <c:showLeaderLines val="1"/>
            <c:extLst>
              <c:ext xmlns:c15="http://schemas.microsoft.com/office/drawing/2012/chart" uri="{CE6537A1-D6FC-4f65-9D91-7224C49458BB}">
                <c15:layout/>
                <c15:showLeaderLines val="1"/>
                <c15:leaderLines>
                  <c:spPr>
                    <a:noFill/>
                    <a:ln w="3175" cap="flat" cmpd="sng" algn="ctr">
                      <a:solidFill>
                        <a:srgbClr val="969696"/>
                      </a:solidFill>
                      <a:prstDash val="solid"/>
                      <a:round/>
                    </a:ln>
                    <a:effectLst/>
                  </c:spPr>
                </c15:leaderLines>
              </c:ext>
            </c:extLst>
          </c:dLbls>
          <c:cat>
            <c:strRef>
              <c:f>Sheet1!$A$2:$A$3</c:f>
              <c:strCache>
                <c:ptCount val="2"/>
                <c:pt idx="0">
                  <c:v>事业收入</c:v>
                </c:pt>
                <c:pt idx="1">
                  <c:v>其他收入</c:v>
                </c:pt>
              </c:strCache>
            </c:strRef>
          </c:cat>
          <c:val>
            <c:numRef>
              <c:f>Sheet1!$B$2:$B$3</c:f>
              <c:numCache>
                <c:formatCode>0.00%</c:formatCode>
                <c:ptCount val="2"/>
                <c:pt idx="0">
                  <c:v>0.9933</c:v>
                </c:pt>
                <c:pt idx="1">
                  <c:v>0.0067</c:v>
                </c:pt>
              </c:numCache>
            </c:numRef>
          </c:val>
        </c:ser>
        <c:dLbls>
          <c:dLblPos val="bestFit"/>
          <c:showLegendKey val="1"/>
          <c:showVal val="1"/>
          <c:showCatName val="1"/>
          <c:showSerName val="1"/>
          <c:showPercent val="1"/>
          <c:showBubbleSize val="1"/>
          <c:showLeaderLines val="1"/>
        </c:dLbls>
        <c:firstSliceAng val="0"/>
      </c:pieChart>
      <c:spPr>
        <a:no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lang="zh-CN" sz="825" b="0" i="0" u="none" strike="noStrike" kern="1200" baseline="0">
              <a:solidFill>
                <a:srgbClr val="333333"/>
              </a:solidFill>
              <a:latin typeface="宋体" charset="-122"/>
              <a:ea typeface="宋体" charset="-122"/>
              <a:cs typeface="宋体" charset="-122"/>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sz="900" b="0" i="0" u="none" strike="noStrike" baseline="0">
          <a:solidFill>
            <a:srgbClr val="000000"/>
          </a:solidFill>
          <a:latin typeface="宋体" charset="-122"/>
          <a:ea typeface="宋体" charset="-122"/>
          <a:cs typeface="宋体"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zh-CN" sz="1400" b="0" i="0" u="none" strike="noStrike" kern="1200" baseline="0">
                <a:solidFill>
                  <a:srgbClr val="333333"/>
                </a:solidFill>
                <a:latin typeface="宋体" charset="-122"/>
                <a:ea typeface="宋体" charset="-122"/>
                <a:cs typeface="宋体" charset="-122"/>
              </a:defRPr>
            </a:pPr>
            <a:r>
              <a:rPr lang="zh-CN" altLang="en-US"/>
              <a:t>支出决算</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收入决算</c:v>
                </c:pt>
              </c:strCache>
            </c:strRef>
          </c:tx>
          <c:spPr>
            <a:effectLst/>
          </c:spPr>
          <c:explosion val="0"/>
          <c:dPt>
            <c:idx val="0"/>
            <c:bubble3D val="0"/>
            <c:explosion val="0"/>
            <c:spPr>
              <a:solidFill>
                <a:schemeClr val="accent1"/>
              </a:solidFill>
              <a:ln w="19050">
                <a:solidFill>
                  <a:schemeClr val="lt1"/>
                </a:solidFill>
              </a:ln>
              <a:effectLst/>
            </c:spPr>
          </c:dPt>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rgbClr val="333333"/>
                    </a:solidFill>
                    <a:latin typeface="宋体" charset="-122"/>
                    <a:ea typeface="宋体" charset="-122"/>
                    <a:cs typeface="宋体" charset="-122"/>
                  </a:defRPr>
                </a:pPr>
              </a:p>
            </c:txPr>
            <c:dLblPos val="bestFit"/>
            <c:showLegendKey val="1"/>
            <c:showVal val="1"/>
            <c:showCatName val="1"/>
            <c:showSerName val="1"/>
            <c:showPercent val="1"/>
            <c:showBubbleSize val="1"/>
            <c:showLeaderLines val="1"/>
            <c:extLst>
              <c:ext xmlns:c15="http://schemas.microsoft.com/office/drawing/2012/chart" uri="{CE6537A1-D6FC-4f65-9D91-7224C49458BB}">
                <c15:layout/>
                <c15:showLeaderLines val="1"/>
                <c15:leaderLines>
                  <c:spPr>
                    <a:noFill/>
                    <a:ln w="3175" cap="flat" cmpd="sng" algn="ctr">
                      <a:solidFill>
                        <a:srgbClr val="969696"/>
                      </a:solidFill>
                      <a:prstDash val="solid"/>
                      <a:round/>
                    </a:ln>
                    <a:effectLst/>
                  </c:spPr>
                </c15:leaderLines>
              </c:ext>
            </c:extLst>
          </c:dLbls>
          <c:cat>
            <c:strRef>
              <c:f>Sheet1!$A$2</c:f>
              <c:strCache>
                <c:ptCount val="1"/>
                <c:pt idx="0">
                  <c:v>基本支出</c:v>
                </c:pt>
              </c:strCache>
            </c:strRef>
          </c:cat>
          <c:val>
            <c:numRef>
              <c:f>Sheet1!$B$2</c:f>
              <c:numCache>
                <c:formatCode>0.00%</c:formatCode>
                <c:ptCount val="1"/>
                <c:pt idx="0">
                  <c:v>1</c:v>
                </c:pt>
              </c:numCache>
            </c:numRef>
          </c:val>
        </c:ser>
        <c:dLbls>
          <c:dLblPos val="bestFit"/>
          <c:showLegendKey val="1"/>
          <c:showVal val="1"/>
          <c:showCatName val="1"/>
          <c:showSerName val="1"/>
          <c:showPercent val="1"/>
          <c:showBubbleSize val="1"/>
          <c:showLeaderLines val="1"/>
        </c:dLbls>
        <c:firstSliceAng val="0"/>
      </c:pieChart>
      <c:spPr>
        <a:no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lang="zh-CN" sz="825" b="0" i="0" u="none" strike="noStrike" kern="1200" baseline="0">
              <a:solidFill>
                <a:srgbClr val="333333"/>
              </a:solidFill>
              <a:latin typeface="宋体" charset="-122"/>
              <a:ea typeface="宋体" charset="-122"/>
              <a:cs typeface="宋体" charset="-122"/>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sz="900" b="0" i="0" u="none" strike="noStrike" baseline="0">
          <a:solidFill>
            <a:srgbClr val="000000"/>
          </a:solidFill>
          <a:latin typeface="宋体" charset="-122"/>
          <a:ea typeface="宋体" charset="-122"/>
          <a:cs typeface="宋体" charset="-122"/>
        </a:defRPr>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268</Words>
  <Characters>286</Characters>
  <Lines>44</Lines>
  <Paragraphs>12</Paragraphs>
  <ScaleCrop>false</ScaleCrop>
  <LinksUpToDate>false</LinksUpToDate>
  <CharactersWithSpaces>298</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2017-07-13T07:16:00Z</dcterms:created>
  <dc:creator>常程</dc:creator>
  <cp:lastModifiedBy>Administrator</cp:lastModifiedBy>
  <cp:lastPrinted>2020-08-09T03:39:00Z</cp:lastPrinted>
  <dcterms:modified xsi:type="dcterms:W3CDTF">2025-09-26T02:17:33Z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y fmtid="{D5CDD505-2E9C-101B-9397-08002B2CF9AE}" pid="3" name="ICV">
    <vt:lpwstr>A7F78878FB63AC2F75B4B7682BD79272</vt:lpwstr>
  </property>
  <property fmtid="{D5CDD505-2E9C-101B-9397-08002B2CF9AE}" pid="4" name="KSOTemplateDocerSaveRecord">
    <vt:lpwstr>eyJoZGlkIjoiMjQwNjQzNTg4ZDE0ZTBiOGFjNjE4NDNkMzM5NWRjMzIiLCJ1c2VySWQiOiI4OTI4ODkxNzIifQ==</vt:lpwstr>
  </property>
</Properties>
</file>