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700" w:firstLineChars="250"/>
        <w:rPr>
          <w:rFonts w:hint="eastAsia" w:ascii="仿宋_GB2312" w:eastAsia="仿宋_GB2312"/>
          <w:sz w:val="28"/>
          <w:szCs w:val="28"/>
          <w:lang w:eastAsia="zh-CN"/>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lang w:eastAsia="zh-CN"/>
        </w:rPr>
        <w:t>：</w:t>
      </w:r>
      <w:r>
        <w:rPr>
          <w:rFonts w:hint="eastAsia" w:ascii="仿宋_GB2312" w:eastAsia="仿宋_GB2312"/>
          <w:sz w:val="28"/>
          <w:szCs w:val="28"/>
        </w:rPr>
        <w:t>参照公务员法管理事业单位</w:t>
      </w:r>
      <w:r>
        <w:rPr>
          <w:rFonts w:hint="eastAsia" w:ascii="仿宋_GB2312" w:eastAsia="仿宋_GB2312"/>
          <w:sz w:val="28"/>
          <w:szCs w:val="28"/>
          <w:lang w:eastAsia="zh-CN"/>
        </w:rPr>
        <w:t>，</w:t>
      </w:r>
      <w:r>
        <w:rPr>
          <w:rFonts w:hint="eastAsia" w:ascii="仿宋_GB2312" w:eastAsia="仿宋_GB2312"/>
          <w:sz w:val="28"/>
          <w:szCs w:val="28"/>
        </w:rPr>
        <w:t>内设质量监督</w:t>
      </w:r>
      <w:r>
        <w:rPr>
          <w:rFonts w:hint="eastAsia" w:ascii="仿宋_GB2312" w:eastAsia="仿宋_GB2312"/>
          <w:sz w:val="28"/>
          <w:szCs w:val="28"/>
          <w:lang w:eastAsia="zh-CN"/>
        </w:rPr>
        <w:t>科</w:t>
      </w:r>
      <w:r>
        <w:rPr>
          <w:rFonts w:hint="eastAsia" w:ascii="仿宋_GB2312" w:eastAsia="仿宋_GB2312"/>
          <w:sz w:val="28"/>
          <w:szCs w:val="28"/>
        </w:rPr>
        <w:t>、安全监督科、消防验收管理科</w:t>
      </w:r>
      <w:r>
        <w:rPr>
          <w:rFonts w:hint="eastAsia" w:ascii="仿宋_GB2312" w:eastAsia="仿宋_GB2312"/>
          <w:sz w:val="28"/>
          <w:szCs w:val="28"/>
          <w:lang w:eastAsia="zh-CN"/>
        </w:rPr>
        <w:t>等</w:t>
      </w:r>
      <w:r>
        <w:rPr>
          <w:rFonts w:hint="eastAsia" w:ascii="仿宋_GB2312" w:eastAsia="仿宋_GB2312"/>
          <w:sz w:val="28"/>
          <w:szCs w:val="28"/>
        </w:rPr>
        <w:t>。</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eastAsia="zh-CN"/>
        </w:rPr>
        <w:t>单位</w:t>
      </w:r>
      <w:r>
        <w:rPr>
          <w:rFonts w:hint="eastAsia" w:ascii="仿宋_GB2312" w:eastAsia="仿宋_GB2312"/>
          <w:sz w:val="28"/>
          <w:szCs w:val="28"/>
        </w:rPr>
        <w:t>职责</w:t>
      </w:r>
      <w:r>
        <w:rPr>
          <w:rFonts w:hint="eastAsia" w:ascii="仿宋_GB2312" w:eastAsia="仿宋_GB2312"/>
          <w:sz w:val="28"/>
          <w:szCs w:val="28"/>
          <w:lang w:eastAsia="zh-CN"/>
        </w:rPr>
        <w:t>：</w:t>
      </w:r>
      <w:r>
        <w:rPr>
          <w:rFonts w:ascii="仿宋_GB2312" w:eastAsia="仿宋_GB2312"/>
          <w:sz w:val="28"/>
          <w:szCs w:val="28"/>
        </w:rPr>
        <w:t>受机关委托，开展房屋建筑和市政基础设施工程施工现场质量安全的监督检查工作，开展房屋建筑和市政基础设施工程质量的监督检查工作；委托有资质的检测单位进行建筑材料专项抽测，负责处理工程质量投诉，参与施工质量事故的调查及应急突发事件的处理工作；负责对房屋建筑和市政基础设施工程开展深基坑、高大模架、高大脚手架、临时用电、建筑起重机械的安全专项检查工作，委托有资质的检测单位进行专项抽测，参与施工安全事故的调查及应急突发事件的处理工作；协助机关开展房屋建设和市政基础设施工程竣工验收备案的事务性工作，开展建设工程消防验收的事务性工作；承担房屋建筑和市政基础设施工程的新建、改建、扩建过程中施工现场扬尘治理方面的事务性工作</w:t>
      </w:r>
      <w:r>
        <w:rPr>
          <w:rFonts w:hint="eastAsia" w:ascii="仿宋_GB2312" w:eastAsia="仿宋_GB2312"/>
          <w:sz w:val="28"/>
          <w:szCs w:val="28"/>
        </w:rPr>
        <w:t>。</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支</w:t>
      </w:r>
      <w:r>
        <w:rPr>
          <w:rFonts w:hint="eastAsia" w:ascii="仿宋_GB2312" w:eastAsia="仿宋_GB2312"/>
          <w:sz w:val="28"/>
          <w:szCs w:val="28"/>
          <w:lang w:eastAsia="zh-CN"/>
        </w:rPr>
        <w:t>出</w:t>
      </w:r>
      <w:r>
        <w:rPr>
          <w:rFonts w:hint="eastAsia" w:ascii="仿宋_GB2312" w:eastAsia="仿宋_GB2312"/>
          <w:sz w:val="28"/>
          <w:szCs w:val="28"/>
        </w:rPr>
        <w:t>总计</w:t>
      </w:r>
      <w:r>
        <w:rPr>
          <w:rFonts w:ascii="仿宋_GB2312" w:eastAsia="仿宋_GB2312"/>
          <w:sz w:val="28"/>
          <w:szCs w:val="28"/>
        </w:rPr>
        <w:t>2260.34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310.31</w:t>
      </w:r>
      <w:r>
        <w:rPr>
          <w:rFonts w:hint="eastAsia" w:ascii="仿宋_GB2312" w:eastAsia="仿宋_GB2312"/>
          <w:sz w:val="28"/>
          <w:szCs w:val="28"/>
        </w:rPr>
        <w:t>万元，增长</w:t>
      </w:r>
      <w:r>
        <w:rPr>
          <w:rFonts w:hint="eastAsia" w:ascii="仿宋_GB2312" w:eastAsia="仿宋_GB2312"/>
          <w:sz w:val="28"/>
          <w:szCs w:val="28"/>
          <w:lang w:val="en-US" w:eastAsia="zh-CN"/>
        </w:rPr>
        <w:t>15.91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2182.38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232.35万元，增长11.92%</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2182.38</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lang w:val="en-US" w:eastAsia="zh-CN"/>
        </w:rPr>
        <w:t>2182.38</w:t>
      </w:r>
      <w:r>
        <w:rPr>
          <w:rFonts w:hint="eastAsia" w:ascii="仿宋_GB2312" w:eastAsia="仿宋_GB2312"/>
          <w:sz w:val="28"/>
          <w:szCs w:val="28"/>
        </w:rPr>
        <w:t>万元，占收入合计的</w:t>
      </w:r>
      <w:r>
        <w:rPr>
          <w:rFonts w:hint="eastAsia" w:ascii="仿宋_GB2312" w:eastAsia="仿宋_GB2312"/>
          <w:sz w:val="28"/>
          <w:szCs w:val="28"/>
          <w:lang w:val="en-US" w:eastAsia="zh-CN"/>
        </w:rPr>
        <w:t>100.00</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pStyle w:val="3"/>
        <w:ind w:firstLine="0"/>
        <w:jc w:val="center"/>
      </w:pPr>
      <w:r>
        <w:rPr>
          <w:rFonts w:hint="eastAsia" w:ascii="仿宋_GB2312" w:eastAsia="仿宋_GB2312"/>
          <w:color w:val="000000"/>
          <w:sz w:val="32"/>
          <w:szCs w:val="32"/>
          <w:highlight w:val="none"/>
          <w:lang w:val="en-US" w:eastAsia="zh-CN"/>
        </w:rPr>
        <w:t>图1：收入决算</w:t>
      </w:r>
    </w:p>
    <w:p>
      <w:pPr>
        <w:pStyle w:val="2"/>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p>
    <w:p>
      <w:pPr>
        <w:pStyle w:val="2"/>
        <w:rPr>
          <w:rFonts w:hint="eastAsia"/>
        </w:rPr>
      </w:pP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2260.34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310.31</w:t>
      </w:r>
      <w:r>
        <w:rPr>
          <w:rFonts w:hint="eastAsia" w:ascii="仿宋_GB2312" w:eastAsia="仿宋_GB2312"/>
          <w:sz w:val="28"/>
          <w:szCs w:val="28"/>
        </w:rPr>
        <w:t>万元，增长</w:t>
      </w:r>
      <w:r>
        <w:rPr>
          <w:rFonts w:hint="eastAsia" w:ascii="仿宋_GB2312" w:eastAsia="仿宋_GB2312"/>
          <w:sz w:val="28"/>
          <w:szCs w:val="28"/>
          <w:lang w:val="en-US" w:eastAsia="zh-CN"/>
        </w:rPr>
        <w:t>15.91</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1513.24</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66.95</w:t>
      </w:r>
      <w:r>
        <w:rPr>
          <w:rFonts w:hint="eastAsia" w:ascii="仿宋_GB2312" w:eastAsia="仿宋_GB2312"/>
          <w:sz w:val="28"/>
          <w:szCs w:val="28"/>
          <w:highlight w:val="none"/>
        </w:rPr>
        <w:t>%；项目支出</w:t>
      </w:r>
      <w:r>
        <w:rPr>
          <w:rFonts w:ascii="仿宋_GB2312" w:eastAsia="仿宋_GB2312"/>
          <w:sz w:val="28"/>
          <w:szCs w:val="28"/>
          <w:highlight w:val="none"/>
        </w:rPr>
        <w:t>747.1</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33.05</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p>
    <w:p>
      <w:pPr>
        <w:pStyle w:val="2"/>
        <w:rPr>
          <w:rFonts w:hint="eastAsia" w:ascii="黑体" w:eastAsia="黑体"/>
          <w:b/>
          <w:sz w:val="28"/>
          <w:szCs w:val="28"/>
        </w:rPr>
      </w:pPr>
    </w:p>
    <w:p>
      <w:pPr>
        <w:pStyle w:val="2"/>
        <w:rPr>
          <w:rFonts w:hint="eastAsia" w:ascii="黑体" w:eastAsia="黑体"/>
          <w:b/>
          <w:sz w:val="28"/>
          <w:szCs w:val="28"/>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w:t>
      </w:r>
      <w:r>
        <w:rPr>
          <w:rFonts w:ascii="仿宋_GB2312" w:eastAsia="仿宋_GB2312"/>
          <w:sz w:val="28"/>
          <w:szCs w:val="28"/>
        </w:rPr>
        <w:t>支</w:t>
      </w:r>
      <w:r>
        <w:rPr>
          <w:rFonts w:hint="eastAsia" w:ascii="仿宋_GB2312" w:eastAsia="仿宋_GB2312"/>
          <w:sz w:val="28"/>
          <w:szCs w:val="28"/>
          <w:lang w:eastAsia="zh-CN"/>
        </w:rPr>
        <w:t>出</w:t>
      </w:r>
      <w:r>
        <w:rPr>
          <w:rFonts w:hint="eastAsia" w:ascii="仿宋_GB2312" w:eastAsia="仿宋_GB2312"/>
          <w:sz w:val="28"/>
          <w:szCs w:val="28"/>
        </w:rPr>
        <w:t>总计</w:t>
      </w:r>
      <w:r>
        <w:rPr>
          <w:rFonts w:ascii="仿宋_GB2312" w:eastAsia="仿宋_GB2312"/>
          <w:sz w:val="28"/>
          <w:szCs w:val="28"/>
        </w:rPr>
        <w:t>2260.34</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310.31</w:t>
      </w:r>
      <w:r>
        <w:rPr>
          <w:rFonts w:hint="eastAsia" w:ascii="仿宋_GB2312" w:eastAsia="仿宋_GB2312"/>
          <w:sz w:val="28"/>
          <w:szCs w:val="28"/>
        </w:rPr>
        <w:t>万元，增长</w:t>
      </w:r>
      <w:r>
        <w:rPr>
          <w:rFonts w:hint="eastAsia" w:ascii="仿宋_GB2312" w:eastAsia="仿宋_GB2312"/>
          <w:sz w:val="28"/>
          <w:szCs w:val="28"/>
          <w:lang w:val="en-US" w:eastAsia="zh-CN"/>
        </w:rPr>
        <w:t>15.91</w:t>
      </w:r>
      <w:r>
        <w:rPr>
          <w:rFonts w:hint="eastAsia" w:ascii="仿宋_GB2312" w:eastAsia="仿宋_GB2312"/>
          <w:sz w:val="28"/>
          <w:szCs w:val="28"/>
        </w:rPr>
        <w:t>%。主要原因：项目支出增加189.37万元，另补发第三批房补77.95万元。</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2260.34</w:t>
      </w:r>
      <w:r>
        <w:rPr>
          <w:rFonts w:hint="eastAsia" w:ascii="仿宋_GB2312" w:eastAsia="仿宋_GB2312"/>
          <w:sz w:val="28"/>
          <w:szCs w:val="28"/>
        </w:rPr>
        <w:t>万元，主要用于以下方面（按大类）：社会保障和就业支出163.94万元，占本年财政拨款支出7.25%，卫生健康支出121.64万元，占本年财政拨款支出的5.38%，节能环保支出209.3</w:t>
      </w:r>
      <w:r>
        <w:rPr>
          <w:rFonts w:hint="eastAsia" w:ascii="仿宋_GB2312" w:eastAsia="仿宋_GB2312"/>
          <w:sz w:val="28"/>
          <w:szCs w:val="28"/>
          <w:lang w:val="en-US" w:eastAsia="zh-CN"/>
        </w:rPr>
        <w:t>8</w:t>
      </w:r>
      <w:r>
        <w:rPr>
          <w:rFonts w:hint="eastAsia" w:ascii="仿宋_GB2312" w:eastAsia="仿宋_GB2312"/>
          <w:sz w:val="28"/>
          <w:szCs w:val="28"/>
        </w:rPr>
        <w:t>，占本年财政拨款支出的9.2</w:t>
      </w:r>
      <w:r>
        <w:rPr>
          <w:rFonts w:hint="eastAsia" w:ascii="仿宋_GB2312" w:eastAsia="仿宋_GB2312"/>
          <w:sz w:val="28"/>
          <w:szCs w:val="28"/>
          <w:lang w:val="en-US" w:eastAsia="zh-CN"/>
        </w:rPr>
        <w:t>7</w:t>
      </w:r>
      <w:r>
        <w:rPr>
          <w:rFonts w:hint="eastAsia" w:ascii="仿宋_GB2312" w:eastAsia="仿宋_GB2312"/>
          <w:sz w:val="28"/>
          <w:szCs w:val="28"/>
        </w:rPr>
        <w:t>%，城乡社区支出1687.43万元，占本年财政拨款支出的74.6</w:t>
      </w:r>
      <w:r>
        <w:rPr>
          <w:rFonts w:hint="eastAsia" w:ascii="仿宋_GB2312" w:eastAsia="仿宋_GB2312"/>
          <w:sz w:val="28"/>
          <w:szCs w:val="28"/>
          <w:lang w:val="en-US" w:eastAsia="zh-CN"/>
        </w:rPr>
        <w:t>5</w:t>
      </w:r>
      <w:r>
        <w:rPr>
          <w:rFonts w:hint="eastAsia" w:ascii="仿宋_GB2312" w:eastAsia="仿宋_GB2312"/>
          <w:sz w:val="28"/>
          <w:szCs w:val="28"/>
        </w:rPr>
        <w:t>%，住房保障支出77.95万元，占本年财政拨款支出的3.45%。</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1、社会保障和就业支出2024年</w:t>
      </w:r>
      <w:r>
        <w:rPr>
          <w:rFonts w:hint="eastAsia" w:ascii="仿宋_GB2312" w:eastAsia="仿宋_GB2312"/>
          <w:sz w:val="28"/>
          <w:szCs w:val="28"/>
          <w:lang w:eastAsia="zh-CN"/>
        </w:rPr>
        <w:t>初</w:t>
      </w:r>
      <w:r>
        <w:rPr>
          <w:rFonts w:hint="eastAsia" w:ascii="仿宋_GB2312" w:eastAsia="仿宋_GB2312"/>
          <w:sz w:val="28"/>
          <w:szCs w:val="28"/>
        </w:rPr>
        <w:t>预算</w:t>
      </w:r>
      <w:r>
        <w:rPr>
          <w:rFonts w:hint="eastAsia" w:ascii="仿宋_GB2312" w:eastAsia="仿宋_GB2312"/>
          <w:sz w:val="28"/>
          <w:szCs w:val="28"/>
          <w:lang w:val="en-US" w:eastAsia="zh-CN"/>
        </w:rPr>
        <w:t>171.45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163.94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95.62</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行政事业单位养老支出202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171.45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163.94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95.62</w:t>
      </w:r>
      <w:r>
        <w:rPr>
          <w:rFonts w:hint="eastAsia" w:ascii="仿宋_GB2312" w:eastAsia="仿宋_GB2312"/>
          <w:sz w:val="28"/>
          <w:szCs w:val="28"/>
        </w:rPr>
        <w:t>%。主要原因年平均职工比预算少1人。</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卫生健康支出202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124.29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121.64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97.87</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行政事业单位医疗支出202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124.29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121.64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97.87</w:t>
      </w:r>
      <w:r>
        <w:rPr>
          <w:rFonts w:hint="eastAsia" w:ascii="仿宋_GB2312" w:eastAsia="仿宋_GB2312"/>
          <w:sz w:val="28"/>
          <w:szCs w:val="28"/>
        </w:rPr>
        <w:t>%。主要原因：年平均员工比预算少1人。</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节能环保支出202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309.69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209.37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67.61%。</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污染防治支出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309.69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209.37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67.61%。</w:t>
      </w:r>
      <w:r>
        <w:rPr>
          <w:rFonts w:hint="eastAsia" w:ascii="仿宋_GB2312" w:eastAsia="仿宋_GB2312"/>
          <w:sz w:val="28"/>
          <w:szCs w:val="28"/>
        </w:rPr>
        <w:t>主要原因：此项目跨年支付，剩余资金结转下年。</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4、</w:t>
      </w:r>
      <w:r>
        <w:rPr>
          <w:rFonts w:hint="eastAsia" w:ascii="仿宋_GB2312" w:eastAsia="仿宋_GB2312"/>
          <w:sz w:val="28"/>
          <w:szCs w:val="28"/>
        </w:rPr>
        <w:t>城乡社区支出2024年度年初预算</w:t>
      </w:r>
      <w:r>
        <w:rPr>
          <w:rFonts w:hint="eastAsia" w:ascii="仿宋_GB2312" w:eastAsia="仿宋_GB2312"/>
          <w:sz w:val="28"/>
          <w:szCs w:val="28"/>
          <w:lang w:val="en-US" w:eastAsia="zh-CN"/>
        </w:rPr>
        <w:t>1698.94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1687.43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99.32%。</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城乡社区管理事务</w:t>
      </w:r>
      <w:r>
        <w:rPr>
          <w:rFonts w:hint="eastAsia" w:ascii="仿宋_GB2312" w:eastAsia="仿宋_GB2312"/>
          <w:sz w:val="28"/>
          <w:szCs w:val="28"/>
        </w:rPr>
        <w:t>2024年度年初预算</w:t>
      </w:r>
      <w:r>
        <w:rPr>
          <w:rFonts w:hint="eastAsia" w:ascii="仿宋_GB2312" w:eastAsia="仿宋_GB2312"/>
          <w:sz w:val="28"/>
          <w:szCs w:val="28"/>
          <w:lang w:val="en-US" w:eastAsia="zh-CN"/>
        </w:rPr>
        <w:t>1698.94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1687.43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99.32%。</w:t>
      </w:r>
      <w:r>
        <w:rPr>
          <w:rFonts w:hint="eastAsia" w:ascii="仿宋_GB2312" w:eastAsia="仿宋_GB2312"/>
          <w:sz w:val="28"/>
          <w:szCs w:val="28"/>
        </w:rPr>
        <w:t>主要原因：年平均员工比预算少1人。</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5、</w:t>
      </w:r>
      <w:r>
        <w:rPr>
          <w:rFonts w:hint="eastAsia" w:ascii="仿宋_GB2312" w:eastAsia="仿宋_GB2312"/>
          <w:sz w:val="28"/>
          <w:szCs w:val="28"/>
        </w:rPr>
        <w:t>住房保障支出2024年度年初预算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77.95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100.00%。</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其中：</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住房改革支出2024年度年初预算0万元，2024年度决算77.95万元，完成年初预算的100.00%。主要原因：住房改革支出为新增补发的第三批房补，没在年初预算中。</w:t>
      </w:r>
    </w:p>
    <w:p>
      <w:pPr>
        <w:spacing w:line="580" w:lineRule="exact"/>
        <w:ind w:firstLine="560" w:firstLineChars="200"/>
        <w:rPr>
          <w:rFonts w:hint="eastAsia" w:ascii="黑体" w:eastAsia="黑体"/>
          <w:b/>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（一）政府性基</w:t>
      </w:r>
      <w:r>
        <w:rPr>
          <w:rFonts w:hint="eastAsia" w:ascii="仿宋_GB2312" w:eastAsia="仿宋_GB2312"/>
          <w:sz w:val="28"/>
          <w:szCs w:val="28"/>
        </w:rPr>
        <w:t>金预算财政拨款支出决算总体情况</w:t>
      </w:r>
    </w:p>
    <w:p>
      <w:pPr>
        <w:ind w:firstLine="817" w:firstLineChars="292"/>
        <w:rPr>
          <w:rFonts w:ascii="仿宋_GB2312" w:eastAsia="仿宋_GB2312"/>
          <w:sz w:val="28"/>
          <w:szCs w:val="28"/>
        </w:rPr>
      </w:pPr>
      <w:r>
        <w:rPr>
          <w:rFonts w:hint="eastAsia" w:ascii="仿宋_GB2312" w:eastAsia="仿宋_GB2312"/>
          <w:sz w:val="28"/>
          <w:szCs w:val="28"/>
        </w:rPr>
        <w:t>本单位2024年度无政府性基金预算财政拨款安排的支出</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817" w:firstLineChars="2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60" w:firstLineChars="200"/>
        <w:rPr>
          <w:rFonts w:hint="eastAsia" w:ascii="黑体" w:eastAsia="黑体"/>
          <w:sz w:val="28"/>
          <w:szCs w:val="28"/>
        </w:rPr>
      </w:pPr>
      <w:r>
        <w:rPr>
          <w:rFonts w:hint="eastAsia" w:ascii="黑体" w:eastAsia="黑体"/>
          <w:b/>
          <w:sz w:val="28"/>
          <w:szCs w:val="28"/>
        </w:rPr>
        <w:t>七、财政拨款基本支出决算情况说明</w:t>
      </w:r>
    </w:p>
    <w:p>
      <w:pPr>
        <w:ind w:left="315" w:leftChars="150" w:firstLine="560" w:firstLineChars="20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1513.24</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办公费、手续费、水费、邮电费、差旅费、维修（护）费、委托业务费、工会经费、福利费、其他交通费、其他商品和服务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退休费、生活补助</w:t>
      </w:r>
      <w:r>
        <w:rPr>
          <w:rFonts w:hint="eastAsia" w:ascii="仿宋_GB2312" w:eastAsia="仿宋_GB2312"/>
          <w:sz w:val="28"/>
          <w:szCs w:val="28"/>
        </w:rPr>
        <w:t>、</w:t>
      </w:r>
      <w:r>
        <w:rPr>
          <w:rFonts w:ascii="仿宋_GB2312" w:eastAsia="仿宋_GB2312"/>
          <w:sz w:val="28"/>
          <w:szCs w:val="28"/>
        </w:rPr>
        <w:t>奖励金。</w:t>
      </w:r>
    </w:p>
    <w:p>
      <w:pPr>
        <w:tabs>
          <w:tab w:val="center" w:pos="6979"/>
        </w:tabs>
        <w:jc w:val="center"/>
        <w:rPr>
          <w:rFonts w:hint="eastAsia" w:ascii="宋体" w:hAnsi="宋体" w:cs="宋体"/>
          <w:b/>
          <w:bCs/>
          <w:spacing w:val="40"/>
          <w:kern w:val="0"/>
          <w:sz w:val="32"/>
          <w:szCs w:val="32"/>
        </w:rPr>
      </w:pPr>
    </w:p>
    <w:p>
      <w:pPr>
        <w:tabs>
          <w:tab w:val="center" w:pos="6979"/>
        </w:tabs>
        <w:jc w:val="center"/>
        <w:rPr>
          <w:rFonts w:hint="eastAsia" w:ascii="宋体" w:hAnsi="宋体" w:cs="宋体"/>
          <w:b/>
          <w:bCs/>
          <w:spacing w:val="40"/>
          <w:kern w:val="0"/>
          <w:sz w:val="32"/>
          <w:szCs w:val="32"/>
        </w:rPr>
      </w:pPr>
    </w:p>
    <w:p>
      <w:pPr>
        <w:tabs>
          <w:tab w:val="center" w:pos="6979"/>
        </w:tabs>
        <w:jc w:val="center"/>
        <w:rPr>
          <w:rFonts w:hint="eastAsia" w:ascii="宋体" w:hAnsi="宋体" w:cs="宋体"/>
          <w:b/>
          <w:bCs/>
          <w:spacing w:val="40"/>
          <w:kern w:val="0"/>
          <w:sz w:val="32"/>
          <w:szCs w:val="32"/>
        </w:rPr>
      </w:pPr>
    </w:p>
    <w:p>
      <w:pPr>
        <w:tabs>
          <w:tab w:val="center" w:pos="6979"/>
        </w:tabs>
        <w:jc w:val="center"/>
        <w:rPr>
          <w:rFonts w:hint="eastAsia" w:ascii="宋体" w:hAnsi="宋体" w:cs="宋体"/>
          <w:b/>
          <w:bCs/>
          <w:spacing w:val="40"/>
          <w:kern w:val="0"/>
          <w:sz w:val="32"/>
          <w:szCs w:val="32"/>
        </w:rPr>
      </w:pPr>
    </w:p>
    <w:p>
      <w:pPr>
        <w:pStyle w:val="2"/>
        <w:rPr>
          <w:rFonts w:hint="eastAsia" w:ascii="宋体" w:hAnsi="宋体" w:cs="宋体"/>
          <w:b/>
          <w:bCs/>
          <w:spacing w:val="40"/>
          <w:kern w:val="0"/>
          <w:sz w:val="32"/>
          <w:szCs w:val="32"/>
        </w:rPr>
      </w:pPr>
    </w:p>
    <w:p>
      <w:pPr>
        <w:pStyle w:val="2"/>
        <w:rPr>
          <w:rFonts w:hint="eastAsia" w:ascii="宋体" w:hAnsi="宋体" w:cs="宋体"/>
          <w:b/>
          <w:bCs/>
          <w:spacing w:val="40"/>
          <w:kern w:val="0"/>
          <w:sz w:val="32"/>
          <w:szCs w:val="32"/>
        </w:rPr>
      </w:pPr>
    </w:p>
    <w:p>
      <w:pPr>
        <w:tabs>
          <w:tab w:val="center" w:pos="6979"/>
        </w:tabs>
        <w:jc w:val="center"/>
        <w:rPr>
          <w:rFonts w:hint="eastAsia" w:ascii="宋体" w:hAnsi="宋体" w:cs="宋体"/>
          <w:b/>
          <w:bCs/>
          <w:spacing w:val="40"/>
          <w:kern w:val="0"/>
          <w:sz w:val="32"/>
          <w:szCs w:val="32"/>
        </w:rPr>
      </w:pP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rPr>
        <w:t>万元增加</w:t>
      </w:r>
      <w:r>
        <w:rPr>
          <w:rFonts w:hint="eastAsia" w:ascii="仿宋_GB2312" w:eastAsia="仿宋_GB2312"/>
          <w:sz w:val="28"/>
          <w:szCs w:val="28"/>
          <w:lang w:val="en-US" w:eastAsia="zh-CN"/>
        </w:rPr>
        <w:t>0</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万元。主要原因：压减支出；2024年度因公出国（境）费用0.00万元，202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压减支出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w:t>
      </w:r>
      <w:r>
        <w:rPr>
          <w:rFonts w:hint="eastAsia" w:ascii="仿宋_GB2312" w:eastAsia="仿宋_GB2312"/>
          <w:sz w:val="28"/>
          <w:szCs w:val="28"/>
          <w:lang w:val="en-US" w:eastAsia="zh-CN"/>
        </w:rPr>
        <w:t>0.00万元</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压减支出，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压减支出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91.02</w:t>
      </w:r>
      <w:r>
        <w:rPr>
          <w:rFonts w:hint="eastAsia" w:ascii="仿宋_GB2312" w:eastAsia="仿宋_GB2312"/>
          <w:sz w:val="28"/>
          <w:szCs w:val="28"/>
        </w:rPr>
        <w:t>万元，比上年增加</w:t>
      </w:r>
      <w:r>
        <w:rPr>
          <w:rFonts w:hint="eastAsia" w:ascii="仿宋_GB2312" w:eastAsia="仿宋_GB2312"/>
          <w:sz w:val="28"/>
          <w:szCs w:val="28"/>
          <w:lang w:val="en-US" w:eastAsia="zh-CN"/>
        </w:rPr>
        <w:t>1.26</w:t>
      </w:r>
      <w:r>
        <w:rPr>
          <w:rFonts w:hint="eastAsia" w:ascii="仿宋_GB2312" w:eastAsia="仿宋_GB2312"/>
          <w:sz w:val="28"/>
          <w:szCs w:val="28"/>
        </w:rPr>
        <w:t>万元，</w:t>
      </w:r>
      <w:r>
        <w:rPr>
          <w:rFonts w:hint="eastAsia" w:ascii="仿宋_GB2312" w:eastAsia="仿宋_GB2312"/>
          <w:sz w:val="28"/>
          <w:szCs w:val="28"/>
          <w:lang w:eastAsia="zh-CN"/>
        </w:rPr>
        <w:t>基本持平</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803.79</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3.12</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0.00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800.67</w:t>
      </w:r>
      <w:r>
        <w:rPr>
          <w:rFonts w:hint="eastAsia" w:ascii="仿宋_GB2312" w:eastAsia="仿宋_GB2312"/>
          <w:sz w:val="28"/>
          <w:szCs w:val="28"/>
        </w:rPr>
        <w:t>万元。授予中小企业合同金额</w:t>
      </w:r>
      <w:r>
        <w:rPr>
          <w:rFonts w:hint="eastAsia" w:ascii="仿宋_GB2312" w:eastAsia="仿宋_GB2312"/>
          <w:sz w:val="28"/>
          <w:szCs w:val="28"/>
          <w:lang w:val="en-US" w:eastAsia="zh-CN"/>
        </w:rPr>
        <w:t>802.79</w:t>
      </w:r>
      <w:r>
        <w:rPr>
          <w:rFonts w:hint="eastAsia" w:ascii="仿宋_GB2312" w:eastAsia="仿宋_GB2312"/>
          <w:sz w:val="28"/>
          <w:szCs w:val="28"/>
        </w:rPr>
        <w:t>万元，占政府采购支出总额的</w:t>
      </w:r>
      <w:r>
        <w:rPr>
          <w:rFonts w:hint="eastAsia" w:ascii="仿宋_GB2312" w:eastAsia="仿宋_GB2312"/>
          <w:sz w:val="28"/>
          <w:szCs w:val="28"/>
          <w:lang w:eastAsia="zh-CN"/>
        </w:rPr>
        <w:t>99.88</w:t>
      </w:r>
      <w:r>
        <w:rPr>
          <w:rFonts w:hint="eastAsia" w:ascii="仿宋_GB2312" w:eastAsia="仿宋_GB2312"/>
          <w:sz w:val="28"/>
          <w:szCs w:val="28"/>
        </w:rPr>
        <w:t>%，其中：授予小微企业合同金额</w:t>
      </w:r>
      <w:r>
        <w:rPr>
          <w:rFonts w:ascii="仿宋_GB2312" w:eastAsia="仿宋_GB2312"/>
          <w:sz w:val="28"/>
          <w:szCs w:val="28"/>
        </w:rPr>
        <w:t>801.65</w:t>
      </w:r>
      <w:r>
        <w:rPr>
          <w:rFonts w:hint="eastAsia" w:ascii="仿宋_GB2312" w:eastAsia="仿宋_GB2312"/>
          <w:sz w:val="28"/>
          <w:szCs w:val="28"/>
        </w:rPr>
        <w:t>万元，占政府采购支出总额的</w:t>
      </w:r>
      <w:r>
        <w:rPr>
          <w:rFonts w:ascii="仿宋_GB2312" w:eastAsia="仿宋_GB2312"/>
          <w:sz w:val="28"/>
          <w:szCs w:val="28"/>
        </w:rPr>
        <w:t>99.73</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12月31日，北京市大兴区建设工程安全质量监督站</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社会保障和就业支出（类）行政事业单位养老支出（款）行政单位离退休（项）：反映用于行政单位（包括实行公务员管理的事业单位）开支的离退休经费。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8.</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机关事业单位基本养老保险缴费支出（项）：反映机关事业单位实施养老保险制度由单位实际缴纳的基本养老保险费支出。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9.</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机关事业单位职业年金缴费支出（项）：反映机关事业单位实施养老保险制度由单位实际缴纳的职业年金支出。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10.</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其他行政事业单位养老支出（项）：反映出上述项目以外其他用于行政事业单位养老方面的支出。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11.</w:t>
      </w:r>
      <w:r>
        <w:rPr>
          <w:rFonts w:hint="eastAsia" w:ascii="仿宋_GB2312" w:eastAsia="仿宋_GB2312"/>
          <w:sz w:val="28"/>
          <w:szCs w:val="28"/>
          <w:highlight w:val="none"/>
          <w:lang w:eastAsia="zh-CN"/>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12.</w:t>
      </w:r>
      <w:r>
        <w:rPr>
          <w:rFonts w:hint="eastAsia" w:ascii="仿宋_GB2312" w:eastAsia="仿宋_GB2312"/>
          <w:sz w:val="28"/>
          <w:szCs w:val="28"/>
          <w:highlight w:val="none"/>
          <w:lang w:eastAsia="zh-CN"/>
        </w:rPr>
        <w:t>卫生健康支出（类）行政事业单位医疗（款）公务员医疗补助（项）：反映财政部门安排的公务员医疗补助经费。</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13.节能环保支出（类）污染防治（款）大气（项）：反映政府在治理空气污染、汽车尾气、酸雨、二氧化碳、沙尘暴等方面的支出。</w:t>
      </w:r>
    </w:p>
    <w:p>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14.</w:t>
      </w:r>
      <w:r>
        <w:rPr>
          <w:rFonts w:hint="eastAsia" w:ascii="仿宋_GB2312" w:eastAsia="仿宋_GB2312"/>
          <w:sz w:val="28"/>
          <w:szCs w:val="28"/>
          <w:highlight w:val="none"/>
          <w:lang w:eastAsia="zh-CN"/>
        </w:rPr>
        <w:t>城乡社区支出（类）城乡社区管理事务（款）工程建设管理（项）：反映调控建设市场运行、拟定建设市场法规、实施建筑工程质量、安全、工程勘察设计监管等方面的支出。</w:t>
      </w:r>
    </w:p>
    <w:p>
      <w:pPr>
        <w:ind w:firstLine="560" w:firstLineChars="200"/>
        <w:jc w:val="both"/>
        <w:rPr>
          <w:rFonts w:hint="eastAsia" w:ascii="黑体" w:eastAsia="黑体"/>
          <w:sz w:val="32"/>
          <w:szCs w:val="32"/>
        </w:rPr>
      </w:pPr>
      <w:r>
        <w:rPr>
          <w:rFonts w:hint="eastAsia" w:ascii="仿宋_GB2312" w:eastAsia="仿宋_GB2312"/>
          <w:sz w:val="28"/>
          <w:szCs w:val="28"/>
          <w:highlight w:val="none"/>
          <w:lang w:val="en-US" w:eastAsia="zh-CN"/>
        </w:rPr>
        <w:t>15.</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住房改革支出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购房补贴</w:t>
      </w:r>
      <w:r>
        <w:rPr>
          <w:rFonts w:hint="eastAsia" w:ascii="仿宋_GB2312" w:eastAsia="仿宋_GB2312"/>
          <w:sz w:val="28"/>
          <w:szCs w:val="28"/>
          <w:highlight w:val="none"/>
          <w:lang w:eastAsia="zh-CN"/>
        </w:rPr>
        <w:t>（项）</w:t>
      </w:r>
      <w:r>
        <w:rPr>
          <w:rFonts w:hint="eastAsia" w:ascii="仿宋_GB2312" w:eastAsia="仿宋_GB2312"/>
          <w:sz w:val="28"/>
          <w:szCs w:val="28"/>
          <w:highlight w:val="none"/>
          <w:lang w:val="en-US" w:eastAsia="zh-CN"/>
        </w:rPr>
        <w:t xml:space="preserve"> ：反映按房改政策规定，行政事业单位向符合条件职工（含离退休人员）、军队（含武警）向转役复员离退休人员发放的用于购买住房的补贴。</w:t>
      </w:r>
    </w:p>
    <w:p/>
    <w:p>
      <w:pPr>
        <w:pStyle w:val="2"/>
        <w:rPr>
          <w:rFonts w:hint="default"/>
          <w:lang w:val="en-US" w:eastAsia="zh-CN"/>
        </w:rPr>
      </w:pPr>
    </w:p>
    <w:p>
      <w:pPr>
        <w:pStyle w:val="2"/>
        <w:rPr>
          <w:rFonts w:hint="eastAsia"/>
          <w:lang w:eastAsia="zh-CN"/>
        </w:rPr>
      </w:pPr>
    </w:p>
    <w:p>
      <w:pPr>
        <w:pStyle w:val="3"/>
        <w:rPr>
          <w:rFonts w:hint="eastAsia"/>
        </w:rPr>
      </w:pPr>
    </w:p>
    <w:p>
      <w:pPr>
        <w:pStyle w:val="3"/>
      </w:pP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pStyle w:val="3"/>
        <w:rPr>
          <w:rFonts w:hint="eastAsia" w:ascii="黑体" w:eastAsia="黑体"/>
          <w:sz w:val="32"/>
          <w:szCs w:val="32"/>
        </w:rPr>
      </w:pPr>
      <w:bookmarkStart w:id="0" w:name="_GoBack"/>
      <w:bookmarkEnd w:id="0"/>
    </w:p>
    <w:p>
      <w:pPr>
        <w:rPr>
          <w:rFonts w:hint="eastAsia" w:ascii="黑体" w:eastAsia="黑体"/>
          <w:sz w:val="32"/>
          <w:szCs w:val="32"/>
        </w:rPr>
      </w:pPr>
    </w:p>
    <w:p>
      <w:pPr>
        <w:pStyle w:val="3"/>
        <w:rPr>
          <w:rFonts w:hint="eastAsia"/>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0"/>
        </w:numPr>
        <w:ind w:left="1050" w:leftChars="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ind w:firstLine="420" w:firstLineChars="0"/>
        <w:rPr>
          <w:rFonts w:hint="eastAsia" w:ascii="黑体" w:eastAsia="黑体"/>
          <w:sz w:val="28"/>
          <w:szCs w:val="28"/>
        </w:rPr>
      </w:pPr>
      <w:r>
        <w:rPr>
          <w:rFonts w:hint="eastAsia" w:ascii="黑体" w:eastAsia="黑体"/>
          <w:sz w:val="28"/>
          <w:szCs w:val="28"/>
        </w:rPr>
        <w:t xml:space="preserve"> </w:t>
      </w:r>
    </w:p>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93E76C7"/>
    <w:rsid w:val="0A5D1DCF"/>
    <w:rsid w:val="0BA148CA"/>
    <w:rsid w:val="0C1165C4"/>
    <w:rsid w:val="0D6D544B"/>
    <w:rsid w:val="0D924699"/>
    <w:rsid w:val="0DD136FE"/>
    <w:rsid w:val="0F542F2C"/>
    <w:rsid w:val="0F8E2C57"/>
    <w:rsid w:val="1059665E"/>
    <w:rsid w:val="10AC13BA"/>
    <w:rsid w:val="11E93F48"/>
    <w:rsid w:val="13D0386F"/>
    <w:rsid w:val="145A6C1B"/>
    <w:rsid w:val="14B73493"/>
    <w:rsid w:val="167A2FF9"/>
    <w:rsid w:val="1764587C"/>
    <w:rsid w:val="18581C69"/>
    <w:rsid w:val="1AEC0734"/>
    <w:rsid w:val="1AF23E6D"/>
    <w:rsid w:val="1DB55626"/>
    <w:rsid w:val="1DEF20B0"/>
    <w:rsid w:val="1FD77AD6"/>
    <w:rsid w:val="1FF7AB17"/>
    <w:rsid w:val="202D5948"/>
    <w:rsid w:val="20A27141"/>
    <w:rsid w:val="214243FA"/>
    <w:rsid w:val="21AD613C"/>
    <w:rsid w:val="22467189"/>
    <w:rsid w:val="257A14F5"/>
    <w:rsid w:val="27196C26"/>
    <w:rsid w:val="29EF086F"/>
    <w:rsid w:val="2BC34C59"/>
    <w:rsid w:val="2EFFE297"/>
    <w:rsid w:val="301437CA"/>
    <w:rsid w:val="349D1F0A"/>
    <w:rsid w:val="34DD0473"/>
    <w:rsid w:val="3A8E35DC"/>
    <w:rsid w:val="3C684897"/>
    <w:rsid w:val="408178BE"/>
    <w:rsid w:val="433E495C"/>
    <w:rsid w:val="489F2FD7"/>
    <w:rsid w:val="4AC27CB3"/>
    <w:rsid w:val="4BF72BEF"/>
    <w:rsid w:val="4E74636C"/>
    <w:rsid w:val="4FA90297"/>
    <w:rsid w:val="4FC41A43"/>
    <w:rsid w:val="51DB3C59"/>
    <w:rsid w:val="550C0952"/>
    <w:rsid w:val="55762E42"/>
    <w:rsid w:val="57A7B272"/>
    <w:rsid w:val="58470068"/>
    <w:rsid w:val="58747CAC"/>
    <w:rsid w:val="5A1720F9"/>
    <w:rsid w:val="5B9C37C2"/>
    <w:rsid w:val="5BA7C654"/>
    <w:rsid w:val="5DF716AE"/>
    <w:rsid w:val="5F9F507E"/>
    <w:rsid w:val="60A54109"/>
    <w:rsid w:val="610E43FE"/>
    <w:rsid w:val="61D01CDF"/>
    <w:rsid w:val="64C0607C"/>
    <w:rsid w:val="64CD3B9D"/>
    <w:rsid w:val="65756C86"/>
    <w:rsid w:val="674D385B"/>
    <w:rsid w:val="676F09E1"/>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2182.38</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1513.24</c:v>
                </c:pt>
                <c:pt idx="1">
                  <c:v>747.1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3596</Words>
  <Characters>4190</Characters>
  <Lines>44</Lines>
  <Paragraphs>12</Paragraphs>
  <TotalTime>6</TotalTime>
  <ScaleCrop>false</ScaleCrop>
  <LinksUpToDate>false</LinksUpToDate>
  <CharactersWithSpaces>4209</CharactersWithSpaces>
  <Application>WPS Office_12.8.2.16730_F1E327BC-269C-435d-A152-05C5408002CA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2025-11-07T03:20:35Z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2052-12.8.2.16730</vt:lpwstr>
  </property>
  <property fmtid="{D5CDD505-2E9C-101B-9397-08002B2CF9AE}" pid="3" name="ICV">
    <vt:lpwstr>A7F78878FB63AC2F75B4B7682BD79272</vt:lpwstr>
  </property>
  <property fmtid="{D5CDD505-2E9C-101B-9397-08002B2CF9AE}" pid="4" name="KSOTemplateDocerSaveRecord">
    <vt:lpwstr>eyJoZGlkIjoiZGM5YjBkYzNkMjRhNzY2NzkyMzczMTE2ODQ4ZGUyNjIiLCJ1c2VySWQiOiIyNjE1MzkwODEifQ==</vt:lpwstr>
  </property>
</Properties>
</file>