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lang w:val="en-US"/>
        </w:rPr>
      </w:pPr>
      <w:r>
        <w:rPr>
          <w:rFonts w:hint="eastAsia" w:ascii="仿宋_GB2312" w:eastAsia="仿宋_GB2312"/>
          <w:sz w:val="28"/>
          <w:szCs w:val="28"/>
          <w:lang w:val="en-US" w:eastAsia="zh-CN"/>
        </w:rPr>
        <w:t>区妇幼保健院是一所三级妇幼保健机构，建筑面积20216.93平方米，编制床位147张，实际开放床位147张</w:t>
      </w:r>
      <w:bookmarkStart w:id="0" w:name="_Hlk53933677"/>
      <w:r>
        <w:rPr>
          <w:rFonts w:hint="eastAsia" w:ascii="仿宋_GB2312" w:eastAsia="仿宋_GB2312"/>
          <w:sz w:val="28"/>
          <w:szCs w:val="28"/>
          <w:lang w:val="en-US" w:eastAsia="zh-CN"/>
        </w:rPr>
        <w:t>。</w:t>
      </w:r>
      <w:bookmarkEnd w:id="0"/>
      <w:r>
        <w:rPr>
          <w:rFonts w:hint="eastAsia" w:ascii="仿宋_GB2312" w:eastAsia="仿宋_GB2312"/>
          <w:sz w:val="28"/>
          <w:szCs w:val="28"/>
          <w:lang w:val="en-US" w:eastAsia="zh-CN"/>
        </w:rPr>
        <w:t>作为全区妇幼保健技术指导中心、业务培训中心，承担全区24家社区卫生服务机构、21家计划生育服务机构、5家助产服务机构、20家妇女病防治单位及111所托幼机构的卫生保健业务管理工作，并承担全区妇女儿童基本医疗保健工作。工作职能定位：坚持妇幼卫生工作方针，以保健为中心，以保障生殖健康为目的，保健与临床相结合，面向群体，面向基层和预防为主，为妇女儿童提供全生命周期，从生理到心理的主动、连续的医疗保健服务。</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val="en-US" w:eastAsia="zh-CN"/>
        </w:rPr>
        <w:t>区妇幼保健院设有孕产保健部、妇女保健部、儿童保健部等业务科室，检验科、功能科、药剂科等相关医技科室以及后勤保障、行政管理科室。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26150.55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bookmarkStart w:id="1" w:name="OLE_LINK17"/>
      <w:bookmarkStart w:id="2" w:name="OLE_LINK18"/>
      <w:r>
        <w:rPr>
          <w:rFonts w:hint="eastAsia" w:ascii="仿宋_GB2312" w:hAnsi="Times New Roman" w:eastAsia="仿宋_GB2312" w:cs="Times New Roman"/>
          <w:kern w:val="2"/>
          <w:sz w:val="28"/>
          <w:szCs w:val="28"/>
          <w:lang w:val="en-US" w:eastAsia="zh-CN" w:bidi="ar"/>
        </w:rPr>
        <w:t>1921.36万元</w:t>
      </w:r>
      <w:bookmarkEnd w:id="1"/>
      <w:bookmarkEnd w:id="2"/>
      <w:r>
        <w:rPr>
          <w:rFonts w:hint="eastAsia" w:ascii="仿宋_GB2312" w:eastAsia="仿宋_GB2312"/>
          <w:sz w:val="28"/>
          <w:szCs w:val="28"/>
        </w:rPr>
        <w:t>，下降</w:t>
      </w:r>
      <w:bookmarkStart w:id="3" w:name="OLE_LINK19"/>
      <w:r>
        <w:rPr>
          <w:rFonts w:hint="eastAsia" w:ascii="仿宋_GB2312" w:hAnsi="Times New Roman" w:eastAsia="仿宋_GB2312" w:cs="Times New Roman"/>
          <w:kern w:val="2"/>
          <w:sz w:val="28"/>
          <w:szCs w:val="28"/>
          <w:lang w:val="en-US" w:eastAsia="zh-CN" w:bidi="ar"/>
        </w:rPr>
        <w:t>6.84%</w:t>
      </w:r>
      <w:bookmarkEnd w:id="3"/>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25277.2</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w:t>
      </w:r>
      <w:bookmarkStart w:id="4" w:name="OLE_LINK21"/>
      <w:bookmarkStart w:id="5" w:name="OLE_LINK20"/>
      <w:r>
        <w:rPr>
          <w:rFonts w:hint="eastAsia" w:ascii="仿宋_GB2312" w:hAnsi="Times New Roman" w:eastAsia="仿宋_GB2312" w:cs="Times New Roman"/>
          <w:kern w:val="2"/>
          <w:sz w:val="28"/>
          <w:szCs w:val="28"/>
          <w:lang w:val="en-US" w:eastAsia="zh-CN" w:bidi="ar"/>
        </w:rPr>
        <w:t>减少1831.41万元，下降6.76%</w:t>
      </w:r>
      <w:bookmarkEnd w:id="4"/>
      <w:bookmarkEnd w:id="5"/>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4877.16</w:t>
      </w:r>
      <w:r>
        <w:rPr>
          <w:rFonts w:hint="eastAsia" w:ascii="仿宋_GB2312" w:eastAsia="仿宋_GB2312"/>
          <w:sz w:val="28"/>
          <w:szCs w:val="28"/>
        </w:rPr>
        <w:t>万元，占收入合计的</w:t>
      </w:r>
      <w:r>
        <w:rPr>
          <w:rFonts w:hint="eastAsia" w:ascii="仿宋_GB2312" w:eastAsia="仿宋_GB2312"/>
          <w:sz w:val="28"/>
          <w:szCs w:val="28"/>
          <w:lang w:eastAsia="zh-CN"/>
        </w:rPr>
        <w:t>19.29%。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hAnsi="Times New Roman" w:eastAsia="仿宋_GB2312" w:cs="Times New Roman"/>
          <w:kern w:val="2"/>
          <w:sz w:val="28"/>
          <w:szCs w:val="28"/>
          <w:lang w:val="en-US" w:eastAsia="zh-CN" w:bidi="ar"/>
        </w:rPr>
        <w:t>4877.16</w:t>
      </w:r>
      <w:r>
        <w:rPr>
          <w:rFonts w:hint="eastAsia" w:ascii="仿宋_GB2312" w:eastAsia="仿宋_GB2312"/>
          <w:sz w:val="28"/>
          <w:szCs w:val="28"/>
        </w:rPr>
        <w:t>万元，占收入合计的</w:t>
      </w:r>
      <w:r>
        <w:rPr>
          <w:rFonts w:hint="eastAsia" w:ascii="仿宋_GB2312" w:hAnsi="Times New Roman" w:eastAsia="仿宋_GB2312" w:cs="Times New Roman"/>
          <w:kern w:val="2"/>
          <w:sz w:val="28"/>
          <w:szCs w:val="28"/>
          <w:lang w:val="en-US" w:eastAsia="zh-CN" w:bidi="ar"/>
        </w:rPr>
        <w:t>19.29</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20357.9</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80.54</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42.1</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0.17</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25481</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ascii="仿宋_GB2312" w:eastAsia="仿宋_GB2312"/>
          <w:sz w:val="28"/>
          <w:szCs w:val="28"/>
        </w:rPr>
        <w:t>比上年</w:t>
      </w:r>
      <w:r>
        <w:rPr>
          <w:rFonts w:hint="eastAsia" w:ascii="仿宋_GB2312" w:hAnsi="Times New Roman" w:eastAsia="仿宋_GB2312" w:cs="Times New Roman"/>
          <w:kern w:val="2"/>
          <w:sz w:val="28"/>
          <w:szCs w:val="28"/>
          <w:lang w:val="en-US" w:eastAsia="zh-CN" w:bidi="ar"/>
        </w:rPr>
        <w:t>减少1771.41万元，下降6.50%</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24030.</w:t>
      </w:r>
      <w:r>
        <w:rPr>
          <w:rFonts w:hint="eastAsia" w:ascii="仿宋_GB2312" w:eastAsia="仿宋_GB2312"/>
          <w:sz w:val="28"/>
          <w:szCs w:val="28"/>
          <w:highlight w:val="none"/>
          <w:lang w:val="en-US" w:eastAsia="zh-CN"/>
        </w:rPr>
        <w:t>90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94.31</w:t>
      </w:r>
      <w:r>
        <w:rPr>
          <w:rFonts w:hint="eastAsia" w:ascii="仿宋_GB2312" w:eastAsia="仿宋_GB2312"/>
          <w:sz w:val="28"/>
          <w:szCs w:val="28"/>
          <w:highlight w:val="none"/>
        </w:rPr>
        <w:t>%；项目支出</w:t>
      </w:r>
      <w:r>
        <w:rPr>
          <w:rFonts w:ascii="仿宋_GB2312" w:eastAsia="仿宋_GB2312"/>
          <w:sz w:val="28"/>
          <w:szCs w:val="28"/>
          <w:highlight w:val="none"/>
        </w:rPr>
        <w:t>1450.1</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5.69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4877.16</w:t>
      </w:r>
      <w:r>
        <w:rPr>
          <w:rFonts w:hint="eastAsia" w:ascii="仿宋_GB2312" w:eastAsia="仿宋_GB2312"/>
          <w:sz w:val="28"/>
          <w:szCs w:val="28"/>
        </w:rPr>
        <w:t>万元，</w:t>
      </w:r>
      <w:r>
        <w:rPr>
          <w:rFonts w:hint="eastAsia" w:ascii="仿宋_GB2312" w:hAnsi="Times New Roman" w:eastAsia="仿宋_GB2312" w:cs="Times New Roman"/>
          <w:kern w:val="2"/>
          <w:sz w:val="28"/>
          <w:szCs w:val="28"/>
          <w:lang w:val="en-US" w:eastAsia="zh-CN" w:bidi="ar"/>
        </w:rPr>
        <w:t>减少146.43万元，下降</w:t>
      </w:r>
      <w:bookmarkStart w:id="6" w:name="OLE_LINK7"/>
      <w:bookmarkStart w:id="7" w:name="OLE_LINK8"/>
      <w:r>
        <w:rPr>
          <w:rFonts w:hint="eastAsia" w:ascii="仿宋_GB2312" w:hAnsi="Times New Roman" w:eastAsia="仿宋_GB2312" w:cs="Times New Roman"/>
          <w:kern w:val="2"/>
          <w:sz w:val="28"/>
          <w:szCs w:val="28"/>
          <w:lang w:val="en-US" w:eastAsia="zh-CN" w:bidi="ar"/>
        </w:rPr>
        <w:t>2.92%</w:t>
      </w:r>
      <w:bookmarkEnd w:id="6"/>
      <w:bookmarkEnd w:id="7"/>
      <w:r>
        <w:rPr>
          <w:rFonts w:hint="eastAsia" w:ascii="仿宋_GB2312" w:eastAsia="仿宋_GB2312"/>
          <w:sz w:val="28"/>
          <w:szCs w:val="28"/>
        </w:rPr>
        <w:t>。主要原因：</w:t>
      </w:r>
      <w:r>
        <w:rPr>
          <w:rFonts w:hint="eastAsia" w:ascii="仿宋_GB2312" w:hAnsi="Times New Roman" w:eastAsia="仿宋_GB2312" w:cs="Times New Roman"/>
          <w:kern w:val="2"/>
          <w:sz w:val="28"/>
          <w:szCs w:val="28"/>
          <w:lang w:val="en-US" w:eastAsia="zh-CN" w:bidi="ar"/>
        </w:rPr>
        <w:t>2024年财政项目减少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4877.16</w:t>
      </w:r>
      <w:r>
        <w:rPr>
          <w:rFonts w:hint="eastAsia" w:ascii="仿宋_GB2312" w:eastAsia="仿宋_GB2312"/>
          <w:sz w:val="28"/>
          <w:szCs w:val="28"/>
        </w:rPr>
        <w:t>万元，主要用于以下方面（按大类）：</w:t>
      </w:r>
      <w:bookmarkStart w:id="8" w:name="OLE_LINK47"/>
      <w:bookmarkStart w:id="9" w:name="OLE_LINK9"/>
      <w:bookmarkStart w:id="10" w:name="OLE_LINK10"/>
      <w:r>
        <w:rPr>
          <w:rFonts w:hint="eastAsia" w:ascii="仿宋_GB2312" w:hAnsi="Times New Roman" w:eastAsia="仿宋_GB2312" w:cs="Times New Roman"/>
          <w:kern w:val="2"/>
          <w:sz w:val="28"/>
          <w:szCs w:val="28"/>
          <w:lang w:val="en-US" w:eastAsia="zh-CN" w:bidi="ar"/>
        </w:rPr>
        <w:t>社会保障和就业支出837.43万元，占本年财政拨款支出17.17%；卫生健康支出4039.73</w:t>
      </w:r>
      <w:bookmarkStart w:id="11" w:name="OLE_LINK52"/>
      <w:bookmarkStart w:id="12" w:name="OLE_LINK53"/>
      <w:r>
        <w:rPr>
          <w:rFonts w:hint="eastAsia" w:ascii="仿宋_GB2312" w:hAnsi="Times New Roman" w:eastAsia="仿宋_GB2312" w:cs="Times New Roman"/>
          <w:kern w:val="2"/>
          <w:sz w:val="28"/>
          <w:szCs w:val="28"/>
          <w:lang w:val="en-US" w:eastAsia="zh-CN" w:bidi="ar"/>
        </w:rPr>
        <w:t>万</w:t>
      </w:r>
      <w:bookmarkEnd w:id="11"/>
      <w:bookmarkEnd w:id="12"/>
      <w:r>
        <w:rPr>
          <w:rFonts w:hint="eastAsia" w:ascii="仿宋_GB2312" w:hAnsi="Times New Roman" w:eastAsia="仿宋_GB2312" w:cs="Times New Roman"/>
          <w:kern w:val="2"/>
          <w:sz w:val="28"/>
          <w:szCs w:val="28"/>
          <w:lang w:val="en-US" w:eastAsia="zh-CN" w:bidi="ar"/>
        </w:rPr>
        <w:t>元，占本年财政拨款支出82.83%</w:t>
      </w:r>
      <w:bookmarkEnd w:id="8"/>
      <w:bookmarkEnd w:id="9"/>
      <w:bookmarkEnd w:id="10"/>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hAnsi="Times New Roman" w:eastAsia="仿宋_GB2312" w:cs="Times New Roman"/>
          <w:kern w:val="2"/>
          <w:sz w:val="28"/>
          <w:szCs w:val="28"/>
          <w:lang w:val="en-US" w:eastAsia="zh-CN" w:bidi="ar"/>
        </w:rPr>
        <w:t>“社会保障和就业支出”（类）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bookmarkStart w:id="13" w:name="OLE_LINK1"/>
      <w:r>
        <w:rPr>
          <w:rFonts w:hint="eastAsia" w:ascii="仿宋_GB2312" w:eastAsia="仿宋_GB2312"/>
          <w:sz w:val="28"/>
          <w:szCs w:val="28"/>
          <w:lang w:val="en-US" w:eastAsia="zh-CN"/>
        </w:rPr>
        <w:t>816.92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bookmarkStart w:id="14" w:name="OLE_LINK13"/>
      <w:bookmarkStart w:id="15" w:name="OLE_LINK12"/>
      <w:r>
        <w:rPr>
          <w:rFonts w:hint="eastAsia" w:ascii="仿宋_GB2312" w:hAnsi="Times New Roman" w:eastAsia="仿宋_GB2312" w:cs="Times New Roman"/>
          <w:kern w:val="2"/>
          <w:sz w:val="28"/>
          <w:szCs w:val="28"/>
          <w:lang w:val="en-US" w:eastAsia="zh-CN" w:bidi="ar"/>
        </w:rPr>
        <w:t>837.43</w:t>
      </w:r>
      <w:bookmarkEnd w:id="14"/>
      <w:bookmarkEnd w:id="15"/>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102.51</w:t>
      </w:r>
      <w:r>
        <w:rPr>
          <w:rFonts w:hint="eastAsia" w:ascii="仿宋_GB2312" w:eastAsia="仿宋_GB2312"/>
          <w:sz w:val="28"/>
          <w:szCs w:val="28"/>
        </w:rPr>
        <w:t>%</w:t>
      </w:r>
      <w:bookmarkEnd w:id="13"/>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bookmarkStart w:id="16" w:name="OLE_LINK58"/>
      <w:bookmarkStart w:id="17" w:name="OLE_LINK59"/>
      <w:r>
        <w:rPr>
          <w:rFonts w:hint="eastAsia" w:ascii="仿宋_GB2312" w:hAnsi="Times New Roman" w:eastAsia="仿宋_GB2312" w:cs="Times New Roman"/>
          <w:kern w:val="2"/>
          <w:sz w:val="28"/>
          <w:szCs w:val="28"/>
          <w:lang w:val="en-US" w:eastAsia="zh-CN" w:bidi="ar"/>
        </w:rPr>
        <w:t>“行政事业单位养老支出”（款）</w:t>
      </w:r>
      <w:bookmarkEnd w:id="16"/>
      <w:bookmarkEnd w:id="17"/>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816.92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Times New Roman" w:eastAsia="仿宋_GB2312" w:cs="Times New Roman"/>
          <w:kern w:val="2"/>
          <w:sz w:val="28"/>
          <w:szCs w:val="28"/>
          <w:lang w:val="en-US" w:eastAsia="zh-CN" w:bidi="ar"/>
        </w:rPr>
        <w:t>837.43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102.51</w:t>
      </w:r>
      <w:r>
        <w:rPr>
          <w:rFonts w:hint="eastAsia" w:ascii="仿宋_GB2312" w:eastAsia="仿宋_GB2312"/>
          <w:sz w:val="28"/>
          <w:szCs w:val="28"/>
        </w:rPr>
        <w:t>%。</w:t>
      </w:r>
      <w:bookmarkStart w:id="18" w:name="OLE_LINK2"/>
      <w:r>
        <w:rPr>
          <w:rFonts w:hint="eastAsia" w:ascii="仿宋_GB2312" w:eastAsia="仿宋_GB2312"/>
          <w:sz w:val="28"/>
          <w:szCs w:val="28"/>
          <w:highlight w:val="none"/>
        </w:rPr>
        <w:t>主要原因：</w:t>
      </w:r>
      <w:bookmarkEnd w:id="18"/>
      <w:r>
        <w:rPr>
          <w:rFonts w:hint="eastAsia" w:ascii="仿宋_GB2312" w:eastAsia="仿宋_GB2312"/>
          <w:sz w:val="28"/>
          <w:szCs w:val="28"/>
          <w:highlight w:val="none"/>
          <w:lang w:val="en-US" w:eastAsia="zh-CN"/>
        </w:rPr>
        <w:t>在编人员的养老保</w:t>
      </w:r>
      <w:bookmarkStart w:id="31" w:name="_GoBack"/>
      <w:bookmarkEnd w:id="31"/>
      <w:r>
        <w:rPr>
          <w:rFonts w:hint="eastAsia" w:ascii="仿宋_GB2312" w:eastAsia="仿宋_GB2312"/>
          <w:sz w:val="28"/>
          <w:szCs w:val="28"/>
          <w:highlight w:val="none"/>
          <w:lang w:val="en-US" w:eastAsia="zh-CN"/>
        </w:rPr>
        <w:t>险基数增加</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w:t>
      </w:r>
      <w:r>
        <w:rPr>
          <w:rFonts w:hint="eastAsia" w:ascii="仿宋_GB2312" w:hAnsi="Times New Roman" w:eastAsia="仿宋_GB2312" w:cs="Times New Roman"/>
          <w:kern w:val="2"/>
          <w:sz w:val="28"/>
          <w:szCs w:val="28"/>
          <w:lang w:val="en-US" w:eastAsia="zh-CN" w:bidi="ar"/>
        </w:rPr>
        <w:t>“</w:t>
      </w:r>
      <w:r>
        <w:rPr>
          <w:rFonts w:hint="eastAsia" w:ascii="仿宋_GB2312" w:hAnsi="Times New Roman" w:eastAsia="仿宋_GB2312" w:cs="Times New Roman"/>
          <w:kern w:val="2"/>
          <w:sz w:val="28"/>
          <w:szCs w:val="28"/>
          <w:highlight w:val="none"/>
          <w:lang w:val="en-US" w:eastAsia="zh-CN" w:bidi="ar"/>
        </w:rPr>
        <w:t>卫生健康支出”(类)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3628.05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bookmarkStart w:id="19" w:name="OLE_LINK15"/>
      <w:bookmarkStart w:id="20" w:name="OLE_LINK14"/>
      <w:r>
        <w:rPr>
          <w:rFonts w:hint="eastAsia" w:ascii="仿宋_GB2312" w:hAnsi="Times New Roman" w:eastAsia="仿宋_GB2312" w:cs="Times New Roman"/>
          <w:kern w:val="2"/>
          <w:sz w:val="28"/>
          <w:szCs w:val="28"/>
          <w:highlight w:val="none"/>
          <w:lang w:val="en-US" w:eastAsia="zh-CN" w:bidi="ar"/>
        </w:rPr>
        <w:t>4039.73</w:t>
      </w:r>
      <w:bookmarkEnd w:id="19"/>
      <w:bookmarkEnd w:id="20"/>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111.35</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hAnsi="Times New Roman" w:eastAsia="仿宋_GB2312" w:cs="Times New Roman"/>
          <w:kern w:val="2"/>
          <w:sz w:val="28"/>
          <w:szCs w:val="28"/>
          <w:highlight w:val="none"/>
          <w:lang w:val="en-US" w:eastAsia="zh-CN" w:bidi="ar"/>
        </w:rPr>
        <w:t>“公共卫生”（款）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3138.05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hAnsi="Times New Roman" w:eastAsia="仿宋_GB2312" w:cs="Times New Roman"/>
          <w:kern w:val="2"/>
          <w:sz w:val="28"/>
          <w:szCs w:val="28"/>
          <w:highlight w:val="none"/>
          <w:lang w:val="en-US" w:eastAsia="zh-CN" w:bidi="ar"/>
        </w:rPr>
        <w:t>3519.15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112.14</w:t>
      </w:r>
      <w:r>
        <w:rPr>
          <w:rFonts w:hint="eastAsia" w:ascii="仿宋_GB2312" w:eastAsia="仿宋_GB2312"/>
          <w:sz w:val="28"/>
          <w:szCs w:val="28"/>
          <w:highlight w:val="none"/>
        </w:rPr>
        <w:t>%。</w:t>
      </w:r>
      <w:r>
        <w:rPr>
          <w:rFonts w:hint="eastAsia" w:ascii="仿宋_GB2312" w:hAnsi="Times New Roman" w:eastAsia="仿宋_GB2312" w:cs="Times New Roman"/>
          <w:kern w:val="2"/>
          <w:sz w:val="28"/>
          <w:szCs w:val="28"/>
          <w:highlight w:val="none"/>
          <w:lang w:val="en-US" w:eastAsia="zh-CN" w:bidi="ar"/>
        </w:rPr>
        <w:t>主要原因：</w:t>
      </w:r>
      <w:bookmarkStart w:id="21" w:name="OLE_LINK35"/>
      <w:bookmarkStart w:id="22" w:name="OLE_LINK34"/>
      <w:r>
        <w:rPr>
          <w:rFonts w:hint="eastAsia" w:ascii="仿宋_GB2312" w:hAnsi="Times New Roman" w:eastAsia="仿宋_GB2312" w:cs="Times New Roman"/>
          <w:kern w:val="2"/>
          <w:sz w:val="28"/>
          <w:szCs w:val="28"/>
          <w:highlight w:val="none"/>
          <w:lang w:val="en-US" w:eastAsia="zh-CN" w:bidi="ar"/>
        </w:rPr>
        <w:t>因工作需要，临时增加财政拨款</w:t>
      </w:r>
      <w:bookmarkEnd w:id="21"/>
      <w:bookmarkEnd w:id="22"/>
      <w:r>
        <w:rPr>
          <w:rFonts w:hint="eastAsia" w:ascii="仿宋_GB2312" w:hAnsi="Times New Roman" w:eastAsia="仿宋_GB2312" w:cs="Times New Roman"/>
          <w:kern w:val="2"/>
          <w:sz w:val="28"/>
          <w:szCs w:val="28"/>
          <w:highlight w:val="none"/>
          <w:lang w:val="en-US" w:eastAsia="zh-CN" w:bidi="ar"/>
        </w:rPr>
        <w:t>。</w:t>
      </w:r>
    </w:p>
    <w:p>
      <w:pPr>
        <w:pStyle w:val="2"/>
        <w:rPr>
          <w:rFonts w:hint="eastAsia" w:ascii="仿宋_GB2312" w:eastAsia="仿宋_GB2312"/>
          <w:b w:val="0"/>
          <w:bCs w:val="0"/>
          <w:sz w:val="28"/>
          <w:szCs w:val="28"/>
          <w:highlight w:val="none"/>
        </w:rPr>
      </w:pPr>
      <w:r>
        <w:rPr>
          <w:rFonts w:hint="eastAsia" w:eastAsia="仿宋_GB2312"/>
          <w:highlight w:val="none"/>
          <w:lang w:val="en-US" w:eastAsia="zh-CN"/>
        </w:rPr>
        <w:t xml:space="preserve">   </w:t>
      </w:r>
      <w:r>
        <w:rPr>
          <w:rFonts w:hint="eastAsia" w:ascii="仿宋_GB2312" w:hAnsi="Times New Roman" w:eastAsia="仿宋_GB2312" w:cs="Times New Roman"/>
          <w:b w:val="0"/>
          <w:bCs w:val="0"/>
          <w:kern w:val="2"/>
          <w:sz w:val="28"/>
          <w:szCs w:val="28"/>
          <w:highlight w:val="none"/>
          <w:lang w:val="en-US" w:eastAsia="zh-CN" w:bidi="ar"/>
        </w:rPr>
        <w:t>“行政事业单位医疗”（款）</w:t>
      </w:r>
      <w:bookmarkStart w:id="23" w:name="OLE_LINK3"/>
      <w:r>
        <w:rPr>
          <w:rFonts w:hint="eastAsia" w:ascii="仿宋_GB2312" w:eastAsia="仿宋_GB2312"/>
          <w:b w:val="0"/>
          <w:bCs w:val="0"/>
          <w:sz w:val="28"/>
          <w:szCs w:val="28"/>
          <w:highlight w:val="none"/>
        </w:rPr>
        <w:t>202</w:t>
      </w:r>
      <w:r>
        <w:rPr>
          <w:rFonts w:hint="eastAsia" w:ascii="仿宋_GB2312" w:eastAsia="仿宋_GB2312"/>
          <w:b w:val="0"/>
          <w:bCs w:val="0"/>
          <w:sz w:val="28"/>
          <w:szCs w:val="28"/>
          <w:highlight w:val="none"/>
          <w:lang w:val="en-US" w:eastAsia="zh-CN"/>
        </w:rPr>
        <w:t>4</w:t>
      </w:r>
      <w:r>
        <w:rPr>
          <w:rFonts w:hint="eastAsia" w:ascii="仿宋_GB2312" w:eastAsia="仿宋_GB2312"/>
          <w:b w:val="0"/>
          <w:bCs w:val="0"/>
          <w:sz w:val="28"/>
          <w:szCs w:val="28"/>
          <w:highlight w:val="none"/>
        </w:rPr>
        <w:t>年度年初预算</w:t>
      </w:r>
      <w:r>
        <w:rPr>
          <w:rFonts w:hint="eastAsia" w:ascii="仿宋_GB2312" w:eastAsia="仿宋_GB2312"/>
          <w:b w:val="0"/>
          <w:bCs w:val="0"/>
          <w:sz w:val="28"/>
          <w:szCs w:val="28"/>
          <w:highlight w:val="none"/>
          <w:lang w:val="en-US" w:eastAsia="zh-CN"/>
        </w:rPr>
        <w:t>480.00</w:t>
      </w:r>
      <w:r>
        <w:rPr>
          <w:rFonts w:hint="eastAsia" w:ascii="仿宋_GB2312" w:eastAsia="仿宋_GB2312"/>
          <w:b w:val="0"/>
          <w:bCs w:val="0"/>
          <w:sz w:val="28"/>
          <w:szCs w:val="28"/>
          <w:highlight w:val="none"/>
        </w:rPr>
        <w:t>万元，202</w:t>
      </w:r>
      <w:r>
        <w:rPr>
          <w:rFonts w:hint="eastAsia" w:ascii="仿宋_GB2312" w:eastAsia="仿宋_GB2312"/>
          <w:b w:val="0"/>
          <w:bCs w:val="0"/>
          <w:sz w:val="28"/>
          <w:szCs w:val="28"/>
          <w:highlight w:val="none"/>
          <w:lang w:val="en-US" w:eastAsia="zh-CN"/>
        </w:rPr>
        <w:t>4</w:t>
      </w:r>
      <w:r>
        <w:rPr>
          <w:rFonts w:hint="eastAsia" w:ascii="仿宋_GB2312" w:eastAsia="仿宋_GB2312"/>
          <w:b w:val="0"/>
          <w:bCs w:val="0"/>
          <w:sz w:val="28"/>
          <w:szCs w:val="28"/>
          <w:highlight w:val="none"/>
        </w:rPr>
        <w:t>年度决算</w:t>
      </w:r>
      <w:r>
        <w:rPr>
          <w:rFonts w:hint="eastAsia" w:ascii="仿宋_GB2312" w:eastAsia="仿宋_GB2312"/>
          <w:b w:val="0"/>
          <w:bCs w:val="0"/>
          <w:sz w:val="28"/>
          <w:szCs w:val="28"/>
          <w:highlight w:val="none"/>
          <w:lang w:val="en-US" w:eastAsia="zh-CN"/>
        </w:rPr>
        <w:t>480.00</w:t>
      </w:r>
      <w:r>
        <w:rPr>
          <w:rFonts w:hint="eastAsia" w:ascii="仿宋_GB2312" w:eastAsia="仿宋_GB2312"/>
          <w:b w:val="0"/>
          <w:bCs w:val="0"/>
          <w:sz w:val="28"/>
          <w:szCs w:val="28"/>
          <w:highlight w:val="none"/>
        </w:rPr>
        <w:t>万元，</w:t>
      </w:r>
      <w:r>
        <w:rPr>
          <w:rFonts w:hint="eastAsia" w:ascii="仿宋_GB2312" w:eastAsia="仿宋_GB2312"/>
          <w:b w:val="0"/>
          <w:bCs w:val="0"/>
          <w:sz w:val="28"/>
          <w:szCs w:val="28"/>
          <w:highlight w:val="none"/>
          <w:lang w:eastAsia="zh-CN"/>
        </w:rPr>
        <w:t>完成年初预算的</w:t>
      </w:r>
      <w:r>
        <w:rPr>
          <w:rFonts w:hint="eastAsia" w:ascii="仿宋_GB2312" w:eastAsia="仿宋_GB2312"/>
          <w:b w:val="0"/>
          <w:bCs w:val="0"/>
          <w:sz w:val="28"/>
          <w:szCs w:val="28"/>
          <w:highlight w:val="none"/>
          <w:lang w:val="en-US" w:eastAsia="zh-CN"/>
        </w:rPr>
        <w:t>100</w:t>
      </w:r>
      <w:r>
        <w:rPr>
          <w:rFonts w:hint="eastAsia" w:ascii="仿宋_GB2312" w:eastAsia="仿宋_GB2312"/>
          <w:b w:val="0"/>
          <w:bCs w:val="0"/>
          <w:sz w:val="28"/>
          <w:szCs w:val="28"/>
          <w:highlight w:val="none"/>
        </w:rPr>
        <w:t>%。</w:t>
      </w:r>
      <w:bookmarkEnd w:id="23"/>
    </w:p>
    <w:p>
      <w:pPr>
        <w:ind w:firstLine="560"/>
        <w:rPr>
          <w:rFonts w:hint="eastAsia" w:ascii="仿宋_GB2312" w:eastAsia="仿宋_GB2312"/>
          <w:b w:val="0"/>
          <w:bCs w:val="0"/>
          <w:sz w:val="28"/>
          <w:szCs w:val="28"/>
          <w:highlight w:val="none"/>
        </w:rPr>
      </w:pPr>
      <w:r>
        <w:rPr>
          <w:rFonts w:hint="eastAsia" w:ascii="仿宋_GB2312" w:hAnsi="Times New Roman" w:eastAsia="仿宋_GB2312" w:cs="Times New Roman"/>
          <w:kern w:val="2"/>
          <w:sz w:val="28"/>
          <w:szCs w:val="28"/>
          <w:highlight w:val="none"/>
          <w:lang w:val="en-US" w:eastAsia="zh-CN" w:bidi="ar"/>
        </w:rPr>
        <w:t>“中医药事务”（款）</w:t>
      </w:r>
      <w:bookmarkStart w:id="24" w:name="OLE_LINK4"/>
      <w:r>
        <w:rPr>
          <w:rFonts w:hint="eastAsia" w:ascii="仿宋_GB2312" w:eastAsia="仿宋_GB2312"/>
          <w:b w:val="0"/>
          <w:bCs w:val="0"/>
          <w:sz w:val="28"/>
          <w:szCs w:val="28"/>
          <w:highlight w:val="none"/>
        </w:rPr>
        <w:t>202</w:t>
      </w:r>
      <w:r>
        <w:rPr>
          <w:rFonts w:hint="eastAsia" w:ascii="仿宋_GB2312" w:eastAsia="仿宋_GB2312"/>
          <w:b w:val="0"/>
          <w:bCs w:val="0"/>
          <w:sz w:val="28"/>
          <w:szCs w:val="28"/>
          <w:highlight w:val="none"/>
          <w:lang w:val="en-US" w:eastAsia="zh-CN"/>
        </w:rPr>
        <w:t>4</w:t>
      </w:r>
      <w:r>
        <w:rPr>
          <w:rFonts w:hint="eastAsia" w:ascii="仿宋_GB2312" w:eastAsia="仿宋_GB2312"/>
          <w:b w:val="0"/>
          <w:bCs w:val="0"/>
          <w:sz w:val="28"/>
          <w:szCs w:val="28"/>
          <w:highlight w:val="none"/>
        </w:rPr>
        <w:t>年度年初预算</w:t>
      </w:r>
      <w:r>
        <w:rPr>
          <w:rFonts w:hint="eastAsia" w:ascii="仿宋_GB2312" w:eastAsia="仿宋_GB2312"/>
          <w:b w:val="0"/>
          <w:bCs w:val="0"/>
          <w:sz w:val="28"/>
          <w:szCs w:val="28"/>
          <w:highlight w:val="none"/>
          <w:lang w:val="en-US" w:eastAsia="zh-CN"/>
        </w:rPr>
        <w:t>10.00</w:t>
      </w:r>
      <w:r>
        <w:rPr>
          <w:rFonts w:hint="eastAsia" w:ascii="仿宋_GB2312" w:eastAsia="仿宋_GB2312"/>
          <w:b w:val="0"/>
          <w:bCs w:val="0"/>
          <w:sz w:val="28"/>
          <w:szCs w:val="28"/>
          <w:highlight w:val="none"/>
        </w:rPr>
        <w:t>万元，202</w:t>
      </w:r>
      <w:r>
        <w:rPr>
          <w:rFonts w:hint="eastAsia" w:ascii="仿宋_GB2312" w:eastAsia="仿宋_GB2312"/>
          <w:b w:val="0"/>
          <w:bCs w:val="0"/>
          <w:sz w:val="28"/>
          <w:szCs w:val="28"/>
          <w:highlight w:val="none"/>
          <w:lang w:val="en-US" w:eastAsia="zh-CN"/>
        </w:rPr>
        <w:t>4</w:t>
      </w:r>
      <w:r>
        <w:rPr>
          <w:rFonts w:hint="eastAsia" w:ascii="仿宋_GB2312" w:eastAsia="仿宋_GB2312"/>
          <w:b w:val="0"/>
          <w:bCs w:val="0"/>
          <w:sz w:val="28"/>
          <w:szCs w:val="28"/>
          <w:highlight w:val="none"/>
        </w:rPr>
        <w:t>年度决算</w:t>
      </w:r>
      <w:r>
        <w:rPr>
          <w:rFonts w:hint="eastAsia" w:ascii="仿宋_GB2312" w:hAnsi="Times New Roman" w:eastAsia="仿宋_GB2312" w:cs="Times New Roman"/>
          <w:kern w:val="2"/>
          <w:sz w:val="28"/>
          <w:szCs w:val="28"/>
          <w:highlight w:val="none"/>
          <w:lang w:val="en-US" w:eastAsia="zh-CN" w:bidi="ar"/>
        </w:rPr>
        <w:t>38.14</w:t>
      </w:r>
      <w:r>
        <w:rPr>
          <w:rFonts w:hint="eastAsia" w:ascii="仿宋_GB2312" w:eastAsia="仿宋_GB2312"/>
          <w:b w:val="0"/>
          <w:bCs w:val="0"/>
          <w:sz w:val="28"/>
          <w:szCs w:val="28"/>
          <w:highlight w:val="none"/>
        </w:rPr>
        <w:t>万元，</w:t>
      </w:r>
      <w:r>
        <w:rPr>
          <w:rFonts w:hint="eastAsia" w:ascii="仿宋_GB2312" w:eastAsia="仿宋_GB2312"/>
          <w:b w:val="0"/>
          <w:bCs w:val="0"/>
          <w:sz w:val="28"/>
          <w:szCs w:val="28"/>
          <w:highlight w:val="none"/>
          <w:lang w:eastAsia="zh-CN"/>
        </w:rPr>
        <w:t>完成年初预算的</w:t>
      </w:r>
      <w:r>
        <w:rPr>
          <w:rFonts w:hint="eastAsia" w:ascii="仿宋_GB2312" w:eastAsia="仿宋_GB2312"/>
          <w:b w:val="0"/>
          <w:bCs w:val="0"/>
          <w:sz w:val="28"/>
          <w:szCs w:val="28"/>
          <w:highlight w:val="none"/>
          <w:lang w:val="en-US" w:eastAsia="zh-CN"/>
        </w:rPr>
        <w:t>381.4</w:t>
      </w:r>
      <w:r>
        <w:rPr>
          <w:rFonts w:hint="eastAsia" w:ascii="仿宋_GB2312" w:eastAsia="仿宋_GB2312"/>
          <w:b w:val="0"/>
          <w:bCs w:val="0"/>
          <w:sz w:val="28"/>
          <w:szCs w:val="28"/>
          <w:highlight w:val="none"/>
        </w:rPr>
        <w:t>%。主要原因：</w:t>
      </w:r>
      <w:bookmarkStart w:id="25" w:name="OLE_LINK41"/>
      <w:bookmarkStart w:id="26" w:name="OLE_LINK40"/>
      <w:bookmarkStart w:id="27" w:name="_Hlk209442259"/>
      <w:r>
        <w:rPr>
          <w:rFonts w:hint="eastAsia" w:ascii="仿宋_GB2312" w:hAnsi="Times New Roman" w:eastAsia="仿宋_GB2312" w:cs="Times New Roman"/>
          <w:kern w:val="2"/>
          <w:sz w:val="28"/>
          <w:szCs w:val="28"/>
          <w:highlight w:val="none"/>
          <w:lang w:val="en-US" w:eastAsia="zh-CN" w:bidi="ar"/>
        </w:rPr>
        <w:t>因工作需要</w:t>
      </w:r>
      <w:bookmarkEnd w:id="25"/>
      <w:bookmarkEnd w:id="26"/>
      <w:r>
        <w:rPr>
          <w:rFonts w:hint="eastAsia" w:ascii="仿宋_GB2312" w:hAnsi="Times New Roman" w:eastAsia="仿宋_GB2312" w:cs="Times New Roman"/>
          <w:kern w:val="2"/>
          <w:sz w:val="28"/>
          <w:szCs w:val="28"/>
          <w:highlight w:val="none"/>
          <w:lang w:val="en-US" w:eastAsia="zh-CN" w:bidi="ar"/>
        </w:rPr>
        <w:t>，财政临时增加对中医药领域的投入</w:t>
      </w:r>
      <w:bookmarkEnd w:id="27"/>
      <w:r>
        <w:rPr>
          <w:rFonts w:hint="eastAsia" w:ascii="仿宋_GB2312" w:eastAsia="仿宋_GB2312" w:cs="Times New Roman"/>
          <w:kern w:val="2"/>
          <w:sz w:val="28"/>
          <w:szCs w:val="28"/>
          <w:highlight w:val="none"/>
          <w:lang w:val="en-US" w:eastAsia="zh-CN" w:bidi="ar"/>
        </w:rPr>
        <w:t>。</w:t>
      </w:r>
    </w:p>
    <w:bookmarkEnd w:id="24"/>
    <w:p>
      <w:pPr>
        <w:ind w:firstLine="560"/>
        <w:rPr>
          <w:rFonts w:hint="default"/>
          <w:lang w:val="en-US" w:eastAsia="zh-CN"/>
        </w:rPr>
      </w:pPr>
      <w:r>
        <w:rPr>
          <w:rFonts w:hint="eastAsia"/>
          <w:highlight w:val="none"/>
          <w:lang w:val="en-US" w:eastAsia="zh-CN"/>
        </w:rPr>
        <w:t xml:space="preserve"> </w:t>
      </w:r>
      <w:bookmarkStart w:id="28" w:name="OLE_LINK5"/>
      <w:r>
        <w:rPr>
          <w:rFonts w:hint="eastAsia" w:ascii="仿宋_GB2312" w:hAnsi="Times New Roman" w:eastAsia="仿宋_GB2312" w:cs="Times New Roman"/>
          <w:kern w:val="2"/>
          <w:sz w:val="28"/>
          <w:szCs w:val="28"/>
          <w:highlight w:val="none"/>
          <w:lang w:val="en-US" w:eastAsia="zh-CN" w:bidi="ar"/>
        </w:rPr>
        <w:t>“其他卫生健康支出”（款）</w:t>
      </w:r>
      <w:r>
        <w:rPr>
          <w:rFonts w:hint="eastAsia" w:ascii="仿宋_GB2312" w:eastAsia="仿宋_GB2312"/>
          <w:b w:val="0"/>
          <w:bCs w:val="0"/>
          <w:sz w:val="28"/>
          <w:szCs w:val="28"/>
          <w:highlight w:val="none"/>
        </w:rPr>
        <w:t>202</w:t>
      </w:r>
      <w:r>
        <w:rPr>
          <w:rFonts w:hint="eastAsia" w:ascii="仿宋_GB2312" w:eastAsia="仿宋_GB2312"/>
          <w:b w:val="0"/>
          <w:bCs w:val="0"/>
          <w:sz w:val="28"/>
          <w:szCs w:val="28"/>
          <w:highlight w:val="none"/>
          <w:lang w:val="en-US" w:eastAsia="zh-CN"/>
        </w:rPr>
        <w:t>4</w:t>
      </w:r>
      <w:r>
        <w:rPr>
          <w:rFonts w:hint="eastAsia" w:ascii="仿宋_GB2312" w:eastAsia="仿宋_GB2312"/>
          <w:b w:val="0"/>
          <w:bCs w:val="0"/>
          <w:sz w:val="28"/>
          <w:szCs w:val="28"/>
          <w:highlight w:val="none"/>
        </w:rPr>
        <w:t>年度年初预算</w:t>
      </w:r>
      <w:r>
        <w:rPr>
          <w:rFonts w:hint="eastAsia" w:ascii="仿宋_GB2312" w:eastAsia="仿宋_GB2312"/>
          <w:b w:val="0"/>
          <w:bCs w:val="0"/>
          <w:sz w:val="28"/>
          <w:szCs w:val="28"/>
          <w:highlight w:val="none"/>
          <w:lang w:val="en-US" w:eastAsia="zh-CN"/>
        </w:rPr>
        <w:t>0</w:t>
      </w:r>
      <w:r>
        <w:rPr>
          <w:rFonts w:hint="eastAsia" w:ascii="仿宋_GB2312" w:eastAsia="仿宋_GB2312"/>
          <w:b w:val="0"/>
          <w:bCs w:val="0"/>
          <w:sz w:val="28"/>
          <w:szCs w:val="28"/>
          <w:highlight w:val="none"/>
        </w:rPr>
        <w:t>万元，202</w:t>
      </w:r>
      <w:r>
        <w:rPr>
          <w:rFonts w:hint="eastAsia" w:ascii="仿宋_GB2312" w:eastAsia="仿宋_GB2312"/>
          <w:b w:val="0"/>
          <w:bCs w:val="0"/>
          <w:sz w:val="28"/>
          <w:szCs w:val="28"/>
          <w:highlight w:val="none"/>
          <w:lang w:val="en-US" w:eastAsia="zh-CN"/>
        </w:rPr>
        <w:t>4</w:t>
      </w:r>
      <w:r>
        <w:rPr>
          <w:rFonts w:hint="eastAsia" w:ascii="仿宋_GB2312" w:eastAsia="仿宋_GB2312"/>
          <w:b w:val="0"/>
          <w:bCs w:val="0"/>
          <w:sz w:val="28"/>
          <w:szCs w:val="28"/>
          <w:highlight w:val="none"/>
        </w:rPr>
        <w:t>年度决算</w:t>
      </w:r>
      <w:r>
        <w:rPr>
          <w:rFonts w:hint="eastAsia" w:ascii="仿宋_GB2312" w:eastAsia="仿宋_GB2312"/>
          <w:b w:val="0"/>
          <w:bCs w:val="0"/>
          <w:sz w:val="28"/>
          <w:szCs w:val="28"/>
          <w:highlight w:val="none"/>
          <w:lang w:val="en-US" w:eastAsia="zh-CN"/>
        </w:rPr>
        <w:t>2.44</w:t>
      </w:r>
      <w:r>
        <w:rPr>
          <w:rFonts w:hint="eastAsia" w:ascii="仿宋_GB2312" w:eastAsia="仿宋_GB2312"/>
          <w:b w:val="0"/>
          <w:bCs w:val="0"/>
          <w:sz w:val="28"/>
          <w:szCs w:val="28"/>
          <w:highlight w:val="none"/>
        </w:rPr>
        <w:t>万元。</w:t>
      </w:r>
      <w:bookmarkStart w:id="29" w:name="_Hlk209442294"/>
      <w:r>
        <w:rPr>
          <w:rFonts w:hint="eastAsia" w:ascii="仿宋_GB2312" w:hAnsi="Times New Roman" w:eastAsia="仿宋_GB2312" w:cs="Times New Roman"/>
          <w:kern w:val="2"/>
          <w:sz w:val="28"/>
          <w:szCs w:val="28"/>
          <w:highlight w:val="none"/>
          <w:lang w:val="en-US" w:eastAsia="zh-CN" w:bidi="ar"/>
        </w:rPr>
        <w:t>主要原</w:t>
      </w:r>
      <w:r>
        <w:rPr>
          <w:rFonts w:hint="eastAsia" w:ascii="仿宋_GB2312" w:hAnsi="Times New Roman" w:eastAsia="仿宋_GB2312" w:cs="Times New Roman"/>
          <w:kern w:val="2"/>
          <w:sz w:val="28"/>
          <w:szCs w:val="28"/>
          <w:lang w:val="en-US" w:eastAsia="zh-CN" w:bidi="ar"/>
        </w:rPr>
        <w:t>因：因工作需要，临时增加预算。</w:t>
      </w:r>
      <w:bookmarkEnd w:id="28"/>
      <w:bookmarkEnd w:id="29"/>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hAnsi="Times New Roman" w:eastAsia="仿宋_GB2312" w:cs="Times New Roman"/>
          <w:kern w:val="2"/>
          <w:sz w:val="28"/>
          <w:szCs w:val="28"/>
          <w:lang w:val="en-US" w:eastAsia="zh-CN" w:bidi="ar"/>
        </w:rPr>
      </w:pPr>
      <w:r>
        <w:rPr>
          <w:rFonts w:hint="eastAsia" w:ascii="仿宋_GB2312" w:hAnsi="Times New Roman" w:eastAsia="仿宋_GB2312" w:cs="Times New Roman"/>
          <w:kern w:val="2"/>
          <w:sz w:val="28"/>
          <w:szCs w:val="28"/>
          <w:lang w:val="en-US" w:eastAsia="zh-CN" w:bidi="ar"/>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lang w:val="en-US" w:eastAsia="zh-CN"/>
        </w:rPr>
        <w:t>.00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lang w:val="en-US" w:eastAsia="zh-CN"/>
        </w:rPr>
        <w:t>.00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3671.64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万元，（1）</w:t>
      </w:r>
      <w:r>
        <w:rPr>
          <w:rFonts w:hint="eastAsia" w:ascii="仿宋_GB2312" w:hAnsi="Times New Roman" w:eastAsia="仿宋_GB2312" w:cs="Times New Roman"/>
          <w:kern w:val="2"/>
          <w:sz w:val="28"/>
          <w:szCs w:val="28"/>
          <w:lang w:val="en-US" w:eastAsia="zh-CN" w:bidi="ar"/>
        </w:rPr>
        <w:t>工资福利支出包括基本工资、津贴补贴、绩效工资、其他社会保障缴费</w:t>
      </w:r>
      <w:r>
        <w:rPr>
          <w:rFonts w:hint="eastAsia" w:ascii="仿宋_GB2312" w:eastAsia="仿宋_GB2312"/>
          <w:sz w:val="28"/>
          <w:szCs w:val="28"/>
        </w:rPr>
        <w:t>；（2）</w:t>
      </w:r>
      <w:r>
        <w:rPr>
          <w:rFonts w:hint="eastAsia" w:ascii="仿宋_GB2312" w:hAnsi="Times New Roman" w:eastAsia="仿宋_GB2312" w:cs="Times New Roman"/>
          <w:kern w:val="2"/>
          <w:sz w:val="28"/>
          <w:szCs w:val="28"/>
          <w:lang w:val="en-US" w:eastAsia="zh-CN" w:bidi="ar"/>
        </w:rPr>
        <w:t>商品和服务支出包括其他商品和服务等支出</w:t>
      </w:r>
      <w:r>
        <w:rPr>
          <w:rFonts w:hint="eastAsia" w:ascii="仿宋_GB2312" w:eastAsia="仿宋_GB2312"/>
          <w:sz w:val="28"/>
          <w:szCs w:val="28"/>
        </w:rPr>
        <w:t>；（3）</w:t>
      </w:r>
      <w:r>
        <w:rPr>
          <w:rFonts w:hint="eastAsia" w:ascii="仿宋_GB2312" w:hAnsi="Times New Roman" w:eastAsia="仿宋_GB2312" w:cs="Times New Roman"/>
          <w:kern w:val="2"/>
          <w:sz w:val="28"/>
          <w:szCs w:val="28"/>
          <w:lang w:val="en-US" w:eastAsia="zh-CN" w:bidi="ar"/>
        </w:rPr>
        <w:t>对个人和家庭补助支出包括退休费、抚恤金等支出</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0.00</w:t>
      </w:r>
      <w:r>
        <w:rPr>
          <w:rFonts w:hint="eastAsia" w:ascii="仿宋_GB2312" w:eastAsia="仿宋_GB2312"/>
          <w:sz w:val="28"/>
          <w:szCs w:val="28"/>
        </w:rPr>
        <w:t>万元，比上年增加</w:t>
      </w:r>
      <w:r>
        <w:rPr>
          <w:rFonts w:hint="eastAsia" w:ascii="仿宋_GB2312" w:eastAsia="仿宋_GB2312"/>
          <w:sz w:val="28"/>
          <w:szCs w:val="28"/>
          <w:lang w:val="en-US" w:eastAsia="zh-CN"/>
        </w:rPr>
        <w:t>0.00</w:t>
      </w:r>
      <w:r>
        <w:rPr>
          <w:rFonts w:hint="eastAsia" w:ascii="仿宋_GB2312" w:eastAsia="仿宋_GB2312"/>
          <w:sz w:val="28"/>
          <w:szCs w:val="28"/>
        </w:rPr>
        <w:t>万元。</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1957.3</w:t>
      </w:r>
      <w:r>
        <w:rPr>
          <w:rFonts w:hint="eastAsia" w:ascii="仿宋_GB2312" w:eastAsia="仿宋_GB2312"/>
          <w:sz w:val="28"/>
          <w:szCs w:val="28"/>
          <w:lang w:val="en-US" w:eastAsia="zh-CN"/>
        </w:rPr>
        <w:t>0</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0.00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hAnsi="Times New Roman" w:eastAsia="仿宋_GB2312" w:cs="Times New Roman"/>
          <w:kern w:val="2"/>
          <w:sz w:val="28"/>
          <w:szCs w:val="28"/>
          <w:lang w:val="en-US" w:eastAsia="zh-CN" w:bidi="ar"/>
        </w:rPr>
        <w:t>1957.30</w:t>
      </w:r>
      <w:r>
        <w:rPr>
          <w:rFonts w:hint="eastAsia" w:ascii="仿宋_GB2312" w:eastAsia="仿宋_GB2312"/>
          <w:sz w:val="28"/>
          <w:szCs w:val="28"/>
        </w:rPr>
        <w:t>万元。授予中小企业合同金额</w:t>
      </w:r>
      <w:r>
        <w:rPr>
          <w:rFonts w:ascii="仿宋_GB2312" w:eastAsia="仿宋_GB2312"/>
          <w:sz w:val="28"/>
          <w:szCs w:val="28"/>
        </w:rPr>
        <w:t>1852.5</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94.65</w:t>
      </w:r>
      <w:r>
        <w:rPr>
          <w:rFonts w:hint="eastAsia" w:ascii="仿宋_GB2312" w:eastAsia="仿宋_GB2312"/>
          <w:sz w:val="28"/>
          <w:szCs w:val="28"/>
        </w:rPr>
        <w:t>%，其中：授予小微企业合同金额</w:t>
      </w:r>
      <w:r>
        <w:rPr>
          <w:rFonts w:ascii="仿宋_GB2312" w:eastAsia="仿宋_GB2312"/>
          <w:sz w:val="28"/>
          <w:szCs w:val="28"/>
        </w:rPr>
        <w:t>1258.65</w:t>
      </w:r>
      <w:r>
        <w:rPr>
          <w:rFonts w:hint="eastAsia" w:ascii="仿宋_GB2312" w:eastAsia="仿宋_GB2312"/>
          <w:sz w:val="28"/>
          <w:szCs w:val="28"/>
        </w:rPr>
        <w:t>万元，占政府采购支出总额的</w:t>
      </w:r>
      <w:r>
        <w:rPr>
          <w:rFonts w:ascii="仿宋_GB2312" w:eastAsia="仿宋_GB2312"/>
          <w:sz w:val="28"/>
          <w:szCs w:val="28"/>
        </w:rPr>
        <w:t>64.31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12月31日，北京市大兴区妇幼保健院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8</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15</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lang w:val="en-US" w:eastAsia="zh-CN"/>
        </w:rPr>
        <w:t>.00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7.社会保障和就业支出（类）行政事业单位养老支出（款）事业单位离退休（项）：反映事业单位开支的离退休经费。</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8.社会保障和就业支出（类）行政事业单位养老支出（款）机关事业单位基本养老保险缴费支出（项）：反映机关事业单位实施养老保险制度由单位缴纳的基本养老保险费支出。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9.社会保障和就业支出（类）行政事业单位养老支出（款）机关事业单位职业年金缴费支出（项）：反映机关事业单位实施养老保险制度由单位实际缴纳的职业年金支出。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10.卫生健康支出（类）基层医疗卫生机构（款）其他基层医疗卫生机构支出（项）：反映上述项目以外的其他用于基层医疗卫生机构的支出。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bookmarkStart w:id="30" w:name="OLE_LINK63"/>
      <w:r>
        <w:rPr>
          <w:rFonts w:hint="eastAsia" w:ascii="仿宋_GB2312" w:hAnsi="Times New Roman" w:eastAsia="仿宋_GB2312" w:cs="仿宋_GB2312"/>
          <w:kern w:val="2"/>
          <w:sz w:val="28"/>
          <w:szCs w:val="28"/>
          <w:lang w:val="en-US" w:eastAsia="zh-CN" w:bidi="ar"/>
        </w:rPr>
        <w:t>11.卫生健康支出（类）公共卫生（款）妇幼保健机构（项）：反映卫生健康部门所属妇幼保健机构的支出。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12.卫生健康支出（类）公共卫生（款）基本公共卫生服务（项）：反映基本公共卫生服务支出。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13.卫生健康支出（类）公共卫生（款）重大公共卫生服务（项）：反映重大疾病、重大传染病预防控制等重大公共卫生服务项目支出。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14.卫生健康支出（类）公共卫生（款）突发公共卫生事件应急处理（项）：反映用于突发公共卫生事件应急处理方面的支出。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15.卫生健康支出（类）中医药（款）中医（民族医）药专项（项）：反映中医（民族医）药的专项支出。</w:t>
      </w:r>
    </w:p>
    <w:p>
      <w:pPr>
        <w:keepNext w:val="0"/>
        <w:keepLines w:val="0"/>
        <w:widowControl w:val="0"/>
        <w:suppressLineNumbers w:val="0"/>
        <w:spacing w:before="0" w:beforeAutospacing="0" w:after="0" w:afterAutospacing="0"/>
        <w:ind w:left="0" w:right="0" w:firstLine="420" w:firstLineChars="150"/>
        <w:jc w:val="both"/>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16.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widowControl w:val="0"/>
        <w:suppressLineNumbers w:val="0"/>
        <w:spacing w:before="0" w:beforeAutospacing="0" w:after="0" w:afterAutospacing="0"/>
        <w:ind w:left="0" w:right="0" w:firstLine="420" w:firstLineChars="150"/>
        <w:jc w:val="both"/>
      </w:pPr>
      <w:r>
        <w:rPr>
          <w:rFonts w:hint="eastAsia" w:ascii="仿宋_GB2312" w:hAnsi="Times New Roman" w:eastAsia="仿宋_GB2312" w:cs="Times New Roman"/>
          <w:kern w:val="2"/>
          <w:sz w:val="28"/>
          <w:szCs w:val="28"/>
          <w:lang w:val="en-US" w:eastAsia="zh-CN" w:bidi="ar"/>
        </w:rPr>
        <w:t>17.卫生健康支出（类）其他卫生健康支出（款）其他卫生健康支出（项）：反映除上述项目以外其他用于卫生健康方面的支出。</w:t>
      </w:r>
      <w:bookmarkEnd w:id="30"/>
    </w:p>
    <w:p>
      <w:pPr>
        <w:pStyle w:val="2"/>
        <w:rPr>
          <w:rFonts w:hint="eastAsia"/>
        </w:rPr>
      </w:pPr>
    </w:p>
    <w:p>
      <w:pPr>
        <w:ind w:firstLine="640" w:firstLineChars="200"/>
        <w:jc w:val="center"/>
        <w:rPr>
          <w:rFonts w:hint="eastAsia" w:ascii="黑体" w:eastAsia="黑体"/>
          <w:sz w:val="32"/>
          <w:szCs w:val="32"/>
        </w:rPr>
      </w:pPr>
    </w:p>
    <w:p>
      <w:pPr>
        <w:jc w:val="center"/>
        <w:rPr>
          <w:rFonts w:hint="eastAsia" w:ascii="黑体" w:eastAsia="黑体"/>
          <w:sz w:val="32"/>
          <w:szCs w:val="32"/>
        </w:rPr>
      </w:pPr>
    </w:p>
    <w:p>
      <w:pPr>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50472E2"/>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9332A32"/>
    <w:rsid w:val="3A8E35DC"/>
    <w:rsid w:val="3C684897"/>
    <w:rsid w:val="3F743CE2"/>
    <w:rsid w:val="433E495C"/>
    <w:rsid w:val="436C3A3A"/>
    <w:rsid w:val="489F2FD7"/>
    <w:rsid w:val="4AC27CB3"/>
    <w:rsid w:val="4BF72BEF"/>
    <w:rsid w:val="4FA90297"/>
    <w:rsid w:val="4FC41A43"/>
    <w:rsid w:val="51DB3C59"/>
    <w:rsid w:val="550C0952"/>
    <w:rsid w:val="55762E42"/>
    <w:rsid w:val="56E66095"/>
    <w:rsid w:val="57A7B272"/>
    <w:rsid w:val="58470068"/>
    <w:rsid w:val="58747CAC"/>
    <w:rsid w:val="5A1720F9"/>
    <w:rsid w:val="5B9C37C2"/>
    <w:rsid w:val="5BA7C654"/>
    <w:rsid w:val="5DF716AE"/>
    <w:rsid w:val="5F9F507E"/>
    <w:rsid w:val="60923986"/>
    <w:rsid w:val="60A54109"/>
    <w:rsid w:val="61D01CDF"/>
    <w:rsid w:val="64C0607C"/>
    <w:rsid w:val="65756C86"/>
    <w:rsid w:val="671717E7"/>
    <w:rsid w:val="674D385B"/>
    <w:rsid w:val="676F09E1"/>
    <w:rsid w:val="6E13277F"/>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5"/>
              <c:layout>
                <c:manualLayout>
                  <c:x val="0.0923748710889449"/>
                  <c:y val="0.035782952509079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4877.16</c:v>
                </c:pt>
                <c:pt idx="1">
                  <c:v>0</c:v>
                </c:pt>
                <c:pt idx="2">
                  <c:v>20357.9</c:v>
                </c:pt>
                <c:pt idx="3">
                  <c:v>0</c:v>
                </c:pt>
                <c:pt idx="4">
                  <c:v>0</c:v>
                </c:pt>
                <c:pt idx="5">
                  <c:v>42.15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12900372940115"/>
                  <c:y val="0.043938254721898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433333333333333"/>
                  <c:y val="-0.0083333333333333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873221026919435"/>
                  <c:y val="0.046622340621173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24030.89</c:v>
                </c:pt>
                <c:pt idx="1">
                  <c:v>1450.1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33</TotalTime>
  <ScaleCrop>false</ScaleCrop>
  <LinksUpToDate>false</LinksUpToDate>
  <CharactersWithSpaces>298</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2025-09-23T06:02:00Z</cp:lastPrinted>
  <dcterms:modified xsi:type="dcterms:W3CDTF">2025-09-26T05:54:36Z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5916E653BF424D7B904A0350FA452535</vt:lpwstr>
  </property>
  <property fmtid="{D5CDD505-2E9C-101B-9397-08002B2CF9AE}" pid="4" name="KSOTemplateDocerSaveRecord">
    <vt:lpwstr>eyJoZGlkIjoiMjQwNjQzNTg4ZDE0ZTBiOGFjNjE4NDNkMzM5NWRjMzIiLCJ1c2VySWQiOiI4OTI4ODkxNzIifQ==</vt:lpwstr>
  </property>
</Properties>
</file>