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32"/>
          <w:szCs w:val="32"/>
          <w:highlight w:val="none"/>
        </w:rPr>
      </w:pPr>
    </w:p>
    <w:p>
      <w:pPr>
        <w:spacing w:line="500" w:lineRule="exact"/>
        <w:ind w:firstLine="645"/>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pPr>
        <w:spacing w:line="500" w:lineRule="exact"/>
        <w:ind w:firstLine="645"/>
        <w:jc w:val="center"/>
        <w:rPr>
          <w:rFonts w:hint="eastAsia" w:ascii="宋体" w:hAnsi="宋体" w:cs="宋体"/>
          <w:b/>
          <w:bCs/>
          <w:kern w:val="0"/>
          <w:sz w:val="36"/>
          <w:szCs w:val="36"/>
          <w:highlight w:val="none"/>
        </w:rPr>
      </w:pP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4</w:t>
      </w:r>
      <w:r>
        <w:rPr>
          <w:rFonts w:hint="eastAsia" w:ascii="宋体" w:hAnsi="宋体" w:cs="宋体"/>
          <w:bCs/>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w:t>
      </w:r>
      <w:r>
        <w:rPr>
          <w:rFonts w:ascii="仿宋_GB2312" w:hAnsi="仿宋" w:eastAsia="仿宋_GB2312" w:cs="宋体"/>
          <w:bCs/>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七</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八</w:t>
      </w:r>
      <w:r>
        <w:rPr>
          <w:rFonts w:hint="eastAsia" w:ascii="仿宋_GB2312" w:hAnsi="仿宋" w:eastAsia="仿宋_GB2312" w:cs="宋体"/>
          <w:bCs/>
          <w:spacing w:val="40"/>
          <w:kern w:val="0"/>
          <w:sz w:val="32"/>
          <w:szCs w:val="32"/>
          <w:highlight w:val="none"/>
        </w:rPr>
        <w:t>、</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九</w:t>
      </w:r>
      <w:r>
        <w:rPr>
          <w:rFonts w:hint="eastAsia" w:ascii="仿宋_GB2312" w:hAnsi="仿宋" w:eastAsia="仿宋_GB2312" w:cs="宋体"/>
          <w:bCs/>
          <w:spacing w:val="40"/>
          <w:kern w:val="0"/>
          <w:sz w:val="32"/>
          <w:szCs w:val="32"/>
          <w:highlight w:val="none"/>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w:t>
      </w:r>
      <w:r>
        <w:rPr>
          <w:rFonts w:hint="eastAsia" w:ascii="仿宋_GB2312" w:hAnsi="仿宋" w:eastAsia="仿宋_GB2312" w:cs="宋体"/>
          <w:bCs/>
          <w:spacing w:val="40"/>
          <w:kern w:val="0"/>
          <w:sz w:val="32"/>
          <w:szCs w:val="32"/>
          <w:highlight w:val="none"/>
          <w:lang w:eastAsia="zh-CN"/>
        </w:rPr>
        <w:t>二</w:t>
      </w:r>
      <w:r>
        <w:rPr>
          <w:rFonts w:hint="eastAsia" w:ascii="仿宋_GB2312" w:hAnsi="仿宋" w:eastAsia="仿宋_GB2312" w:cs="宋体"/>
          <w:bCs/>
          <w:spacing w:val="40"/>
          <w:kern w:val="0"/>
          <w:sz w:val="32"/>
          <w:szCs w:val="32"/>
          <w:highlight w:val="none"/>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4</w:t>
      </w:r>
      <w:r>
        <w:rPr>
          <w:rFonts w:hint="eastAsia" w:ascii="宋体" w:hAnsi="宋体" w:cs="宋体"/>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 xml:space="preserve">第一部分 </w:t>
      </w:r>
      <w:r>
        <w:rPr>
          <w:rFonts w:hint="eastAsia" w:ascii="宋体" w:hAnsi="宋体" w:cs="宋体"/>
          <w:b/>
          <w:bCs/>
          <w:spacing w:val="40"/>
          <w:kern w:val="0"/>
          <w:sz w:val="44"/>
          <w:szCs w:val="44"/>
          <w:highlight w:val="none"/>
          <w:lang w:eastAsia="zh-CN"/>
        </w:rPr>
        <w:t>2024</w:t>
      </w:r>
      <w:r>
        <w:rPr>
          <w:rFonts w:hint="eastAsia" w:ascii="宋体" w:hAnsi="宋体" w:cs="宋体"/>
          <w:b/>
          <w:bCs/>
          <w:spacing w:val="40"/>
          <w:kern w:val="0"/>
          <w:sz w:val="44"/>
          <w:szCs w:val="44"/>
          <w:highlight w:val="none"/>
        </w:rPr>
        <w:t>年度部门决算报表</w:t>
      </w:r>
    </w:p>
    <w:p>
      <w:pPr>
        <w:pStyle w:val="2"/>
        <w:rPr>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b w:val="0"/>
          <w:bCs w:val="0"/>
          <w:sz w:val="28"/>
          <w:szCs w:val="28"/>
          <w:highlight w:val="none"/>
        </w:rPr>
        <w:t>报表详见附件。</w:t>
      </w:r>
    </w:p>
    <w:p>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tabs>
          <w:tab w:val="center" w:pos="6979"/>
        </w:tabs>
        <w:spacing w:line="580" w:lineRule="exact"/>
        <w:ind w:firstLine="570"/>
        <w:rPr>
          <w:rFonts w:hint="eastAsia" w:ascii="仿宋_GB2312" w:eastAsia="仿宋_GB2312"/>
          <w:kern w:val="0"/>
          <w:sz w:val="28"/>
          <w:szCs w:val="28"/>
          <w:highlight w:val="none"/>
        </w:rPr>
      </w:pPr>
      <w:r>
        <w:rPr>
          <w:rFonts w:hint="eastAsia" w:ascii="仿宋_GB2312" w:eastAsia="仿宋_GB2312"/>
          <w:kern w:val="0"/>
          <w:sz w:val="28"/>
          <w:szCs w:val="28"/>
          <w:highlight w:val="none"/>
        </w:rPr>
        <w:t>北京市大兴区观音寺街道社区卫生服务中心隶属于北京市大兴区卫生健康委员会，</w:t>
      </w:r>
      <w:r>
        <w:rPr>
          <w:rFonts w:hint="eastAsia" w:ascii="仿宋_GB2312" w:eastAsia="仿宋_GB2312"/>
          <w:kern w:val="0"/>
          <w:sz w:val="28"/>
          <w:szCs w:val="28"/>
          <w:highlight w:val="none"/>
          <w:lang w:val="en-US" w:eastAsia="zh-CN"/>
        </w:rPr>
        <w:t>为</w:t>
      </w:r>
      <w:r>
        <w:rPr>
          <w:rFonts w:hint="eastAsia" w:ascii="仿宋_GB2312" w:eastAsia="仿宋_GB2312"/>
          <w:kern w:val="0"/>
          <w:sz w:val="28"/>
          <w:szCs w:val="28"/>
          <w:highlight w:val="none"/>
        </w:rPr>
        <w:t>落实《中华人民共和国基本医疗卫生与健康促进法》有关精神，开展预防、保健、健康教育、疾病管理，建立居民健康档案，开展常见病、多发病的诊疗以及部分疾病的康复、护理，接收医院转诊患者，向医院转诊超出自身服务能力的患者等基本医疗卫生服务，本单位为财政全额拨款事业单位。</w:t>
      </w:r>
    </w:p>
    <w:p>
      <w:pPr>
        <w:tabs>
          <w:tab w:val="center" w:pos="6979"/>
        </w:tabs>
        <w:spacing w:line="580" w:lineRule="exact"/>
        <w:ind w:firstLine="570"/>
        <w:rPr>
          <w:rFonts w:hint="eastAsia" w:ascii="仿宋_GB2312" w:eastAsia="仿宋_GB2312"/>
          <w:kern w:val="0"/>
          <w:sz w:val="28"/>
          <w:szCs w:val="28"/>
          <w:highlight w:val="none"/>
          <w:lang w:eastAsia="zh-CN"/>
        </w:rPr>
      </w:pPr>
      <w:r>
        <w:rPr>
          <w:rFonts w:hint="eastAsia" w:ascii="仿宋_GB2312" w:eastAsia="仿宋_GB2312"/>
          <w:kern w:val="0"/>
          <w:sz w:val="28"/>
          <w:szCs w:val="28"/>
          <w:highlight w:val="none"/>
        </w:rPr>
        <w:t>本级机构设置</w:t>
      </w:r>
      <w:r>
        <w:rPr>
          <w:rFonts w:hint="eastAsia" w:ascii="仿宋_GB2312" w:eastAsia="仿宋_GB2312"/>
          <w:kern w:val="0"/>
          <w:sz w:val="28"/>
          <w:szCs w:val="28"/>
          <w:highlight w:val="none"/>
          <w:lang w:val="en-US" w:eastAsia="zh-CN"/>
        </w:rPr>
        <w:t>情况为北京市大兴区观音寺街道社区卫生服务中心</w:t>
      </w:r>
      <w:r>
        <w:rPr>
          <w:rFonts w:hint="eastAsia" w:ascii="仿宋_GB2312" w:eastAsia="仿宋_GB2312"/>
          <w:kern w:val="0"/>
          <w:sz w:val="28"/>
          <w:szCs w:val="28"/>
          <w:highlight w:val="none"/>
        </w:rPr>
        <w:t>内设机构共</w:t>
      </w:r>
      <w:r>
        <w:rPr>
          <w:rFonts w:hint="eastAsia" w:ascii="仿宋_GB2312" w:eastAsia="仿宋_GB2312"/>
          <w:kern w:val="0"/>
          <w:sz w:val="28"/>
          <w:szCs w:val="28"/>
          <w:highlight w:val="none"/>
          <w:lang w:val="en-US" w:eastAsia="zh-CN"/>
        </w:rPr>
        <w:t>14</w:t>
      </w:r>
      <w:r>
        <w:rPr>
          <w:rFonts w:hint="eastAsia" w:ascii="仿宋_GB2312" w:eastAsia="仿宋_GB2312"/>
          <w:kern w:val="0"/>
          <w:sz w:val="28"/>
          <w:szCs w:val="28"/>
          <w:highlight w:val="none"/>
        </w:rPr>
        <w:t>个。包括综合办公室、</w:t>
      </w:r>
      <w:r>
        <w:rPr>
          <w:rFonts w:hint="eastAsia" w:ascii="仿宋_GB2312" w:eastAsia="仿宋_GB2312"/>
          <w:kern w:val="0"/>
          <w:sz w:val="28"/>
          <w:szCs w:val="28"/>
          <w:highlight w:val="none"/>
          <w:lang w:val="en-US" w:eastAsia="zh-CN"/>
        </w:rPr>
        <w:t>组织人事科、</w:t>
      </w:r>
      <w:r>
        <w:rPr>
          <w:rFonts w:hint="eastAsia" w:ascii="仿宋_GB2312" w:eastAsia="仿宋_GB2312"/>
          <w:kern w:val="0"/>
          <w:sz w:val="28"/>
          <w:szCs w:val="28"/>
          <w:highlight w:val="none"/>
        </w:rPr>
        <w:t>医</w:t>
      </w:r>
      <w:r>
        <w:rPr>
          <w:rFonts w:hint="eastAsia" w:ascii="仿宋_GB2312" w:eastAsia="仿宋_GB2312"/>
          <w:kern w:val="0"/>
          <w:sz w:val="28"/>
          <w:szCs w:val="28"/>
          <w:highlight w:val="none"/>
          <w:lang w:val="en-US" w:eastAsia="zh-CN"/>
        </w:rPr>
        <w:t>务</w:t>
      </w:r>
      <w:r>
        <w:rPr>
          <w:rFonts w:hint="eastAsia" w:ascii="仿宋_GB2312" w:eastAsia="仿宋_GB2312"/>
          <w:kern w:val="0"/>
          <w:sz w:val="28"/>
          <w:szCs w:val="28"/>
          <w:highlight w:val="none"/>
        </w:rPr>
        <w:t>科、</w:t>
      </w:r>
      <w:r>
        <w:rPr>
          <w:rFonts w:hint="eastAsia" w:ascii="仿宋_GB2312" w:eastAsia="仿宋_GB2312"/>
          <w:kern w:val="0"/>
          <w:sz w:val="28"/>
          <w:szCs w:val="28"/>
          <w:highlight w:val="none"/>
          <w:lang w:val="en-US" w:eastAsia="zh-CN"/>
        </w:rPr>
        <w:t>社区科、财务科、药械科、医保科、总务科、安保科</w:t>
      </w:r>
      <w:r>
        <w:rPr>
          <w:rFonts w:hint="eastAsia" w:ascii="仿宋_GB2312" w:eastAsia="仿宋_GB2312"/>
          <w:kern w:val="0"/>
          <w:sz w:val="28"/>
          <w:szCs w:val="28"/>
          <w:highlight w:val="none"/>
        </w:rPr>
        <w:t>、</w:t>
      </w:r>
      <w:r>
        <w:rPr>
          <w:rFonts w:hint="eastAsia" w:ascii="仿宋_GB2312" w:eastAsia="仿宋_GB2312"/>
          <w:kern w:val="0"/>
          <w:sz w:val="28"/>
          <w:szCs w:val="28"/>
          <w:highlight w:val="none"/>
          <w:lang w:val="en-US" w:eastAsia="zh-CN"/>
        </w:rPr>
        <w:t>信息科、计免科</w:t>
      </w:r>
      <w:r>
        <w:rPr>
          <w:rFonts w:hint="eastAsia" w:ascii="仿宋_GB2312" w:eastAsia="仿宋_GB2312"/>
          <w:kern w:val="0"/>
          <w:sz w:val="28"/>
          <w:szCs w:val="28"/>
          <w:highlight w:val="none"/>
        </w:rPr>
        <w:t>、</w:t>
      </w:r>
      <w:r>
        <w:rPr>
          <w:rFonts w:hint="eastAsia" w:ascii="仿宋_GB2312" w:eastAsia="仿宋_GB2312"/>
          <w:kern w:val="0"/>
          <w:sz w:val="28"/>
          <w:szCs w:val="28"/>
          <w:highlight w:val="none"/>
          <w:lang w:val="en-US" w:eastAsia="zh-CN"/>
        </w:rPr>
        <w:t>保健科</w:t>
      </w:r>
      <w:r>
        <w:rPr>
          <w:rFonts w:hint="eastAsia" w:ascii="仿宋_GB2312" w:eastAsia="仿宋_GB2312"/>
          <w:kern w:val="0"/>
          <w:sz w:val="28"/>
          <w:szCs w:val="28"/>
          <w:highlight w:val="none"/>
        </w:rPr>
        <w:t>、</w:t>
      </w:r>
      <w:r>
        <w:rPr>
          <w:rFonts w:hint="eastAsia" w:ascii="仿宋_GB2312" w:eastAsia="仿宋_GB2312"/>
          <w:kern w:val="0"/>
          <w:sz w:val="28"/>
          <w:szCs w:val="28"/>
          <w:highlight w:val="none"/>
          <w:lang w:val="en-US" w:eastAsia="zh-CN"/>
        </w:rPr>
        <w:t>精防科、中医科</w:t>
      </w:r>
      <w:r>
        <w:rPr>
          <w:rFonts w:hint="eastAsia" w:ascii="仿宋_GB2312" w:eastAsia="仿宋_GB2312"/>
          <w:kern w:val="0"/>
          <w:sz w:val="28"/>
          <w:szCs w:val="28"/>
          <w:highlight w:val="none"/>
          <w:lang w:eastAsia="zh-CN"/>
        </w:rPr>
        <w:t>。</w:t>
      </w:r>
    </w:p>
    <w:p>
      <w:pPr>
        <w:tabs>
          <w:tab w:val="center" w:pos="6979"/>
        </w:tabs>
        <w:spacing w:line="580" w:lineRule="exact"/>
        <w:rPr>
          <w:rFonts w:hint="eastAsia" w:ascii="黑体" w:eastAsia="黑体"/>
          <w:b/>
          <w:sz w:val="28"/>
          <w:szCs w:val="28"/>
          <w:highlight w:val="none"/>
        </w:rPr>
      </w:pPr>
      <w:bookmarkStart w:id="0" w:name="_GoBack"/>
      <w:bookmarkEnd w:id="0"/>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3358.79</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rPr>
        <w:t>2075.86万元，增长</w:t>
      </w:r>
      <w:r>
        <w:rPr>
          <w:rFonts w:hint="eastAsia" w:ascii="仿宋_GB2312" w:eastAsia="仿宋_GB2312"/>
          <w:sz w:val="28"/>
          <w:szCs w:val="28"/>
          <w:highlight w:val="none"/>
          <w:lang w:val="en-US" w:eastAsia="zh-CN"/>
        </w:rPr>
        <w:t>161.80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年度本年收入合计</w:t>
      </w:r>
      <w:r>
        <w:rPr>
          <w:rFonts w:ascii="仿宋_GB2312" w:eastAsia="仿宋_GB2312"/>
          <w:sz w:val="28"/>
          <w:szCs w:val="28"/>
          <w:highlight w:val="none"/>
        </w:rPr>
        <w:t>3291.01</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rPr>
        <w:t>2008.07万元，增长</w:t>
      </w:r>
      <w:r>
        <w:rPr>
          <w:rFonts w:hint="eastAsia" w:ascii="仿宋_GB2312" w:eastAsia="仿宋_GB2312"/>
          <w:sz w:val="28"/>
          <w:szCs w:val="28"/>
          <w:highlight w:val="none"/>
          <w:lang w:val="en-US" w:eastAsia="zh-CN"/>
        </w:rPr>
        <w:t>156.52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财政拨款收入</w:t>
      </w:r>
      <w:r>
        <w:rPr>
          <w:rFonts w:ascii="仿宋_GB2312" w:eastAsia="仿宋_GB2312"/>
          <w:sz w:val="28"/>
          <w:szCs w:val="28"/>
          <w:highlight w:val="none"/>
        </w:rPr>
        <w:t>2013.17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61.17%。</w:t>
      </w:r>
      <w:r>
        <w:rPr>
          <w:rFonts w:hint="eastAsia" w:ascii="仿宋_GB2312" w:eastAsia="仿宋_GB2312"/>
          <w:sz w:val="28"/>
          <w:szCs w:val="28"/>
          <w:highlight w:val="none"/>
        </w:rPr>
        <w:t>其中：</w:t>
      </w:r>
      <w:r>
        <w:rPr>
          <w:rFonts w:hint="eastAsia" w:ascii="仿宋_GB2312" w:eastAsia="仿宋_GB2312"/>
          <w:sz w:val="28"/>
          <w:szCs w:val="28"/>
          <w:highlight w:val="none"/>
          <w:lang w:eastAsia="zh-CN"/>
        </w:rPr>
        <w:t>一般公共预算财政拨款收入</w:t>
      </w:r>
      <w:r>
        <w:rPr>
          <w:rFonts w:hint="eastAsia" w:ascii="仿宋_GB2312" w:eastAsia="仿宋_GB2312"/>
          <w:sz w:val="28"/>
          <w:szCs w:val="28"/>
          <w:highlight w:val="none"/>
        </w:rPr>
        <w:t>2013.17万元，占收入合计的</w:t>
      </w:r>
      <w:r>
        <w:rPr>
          <w:rFonts w:hint="eastAsia" w:ascii="仿宋_GB2312" w:eastAsia="仿宋_GB2312"/>
          <w:sz w:val="28"/>
          <w:szCs w:val="28"/>
          <w:highlight w:val="none"/>
          <w:lang w:val="en-US" w:eastAsia="zh-CN"/>
        </w:rPr>
        <w:t>61.17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政府性基金预算财政拨款收入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国有资本经营预算财政拨款收入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1277.69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38.82</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0.15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.01</w:t>
      </w:r>
      <w:r>
        <w:rPr>
          <w:rFonts w:hint="eastAsia" w:ascii="仿宋_GB2312" w:eastAsia="仿宋_GB2312"/>
          <w:sz w:val="28"/>
          <w:szCs w:val="28"/>
          <w:highlight w:val="none"/>
        </w:rPr>
        <w:t>%。</w:t>
      </w:r>
    </w:p>
    <w:p>
      <w:pPr>
        <w:pStyle w:val="2"/>
        <w:ind w:firstLine="0"/>
        <w:jc w:val="center"/>
        <w:rPr>
          <w:highlight w:val="none"/>
        </w:rPr>
      </w:pPr>
      <w:r>
        <w:rPr>
          <w:rFonts w:hint="eastAsia" w:ascii="仿宋_GB2312" w:eastAsia="仿宋_GB2312"/>
          <w:color w:val="000000"/>
          <w:sz w:val="32"/>
          <w:szCs w:val="32"/>
          <w:highlight w:val="none"/>
          <w:lang w:val="en-US" w:eastAsia="zh-CN"/>
        </w:rPr>
        <w:t>图1：收入决算</w:t>
      </w:r>
    </w:p>
    <w:p>
      <w:pPr>
        <w:pStyle w:val="3"/>
        <w:ind w:firstLine="420"/>
        <w:jc w:val="center"/>
        <w:rPr>
          <w:highlight w:val="none"/>
        </w:rPr>
      </w:pPr>
      <w:r>
        <w:rPr>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年度本年支出合计</w:t>
      </w:r>
      <w:r>
        <w:rPr>
          <w:rFonts w:ascii="仿宋_GB2312" w:eastAsia="仿宋_GB2312"/>
          <w:sz w:val="28"/>
          <w:szCs w:val="28"/>
          <w:highlight w:val="none"/>
        </w:rPr>
        <w:t>3251.19</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2018.54</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163.76</w:t>
      </w:r>
      <w:r>
        <w:rPr>
          <w:rFonts w:hint="eastAsia" w:ascii="仿宋_GB2312" w:eastAsia="仿宋_GB2312"/>
          <w:sz w:val="28"/>
          <w:szCs w:val="28"/>
          <w:highlight w:val="none"/>
        </w:rPr>
        <w:t>%，其中：基本支出</w:t>
      </w:r>
      <w:r>
        <w:rPr>
          <w:rFonts w:ascii="仿宋_GB2312" w:eastAsia="仿宋_GB2312"/>
          <w:sz w:val="28"/>
          <w:szCs w:val="28"/>
          <w:highlight w:val="none"/>
        </w:rPr>
        <w:t>2018.15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62.07</w:t>
      </w:r>
      <w:r>
        <w:rPr>
          <w:rFonts w:hint="eastAsia" w:ascii="仿宋_GB2312" w:eastAsia="仿宋_GB2312"/>
          <w:sz w:val="28"/>
          <w:szCs w:val="28"/>
          <w:highlight w:val="none"/>
        </w:rPr>
        <w:t>%；项目支出</w:t>
      </w:r>
      <w:r>
        <w:rPr>
          <w:rFonts w:ascii="仿宋_GB2312" w:eastAsia="仿宋_GB2312"/>
          <w:sz w:val="28"/>
          <w:szCs w:val="28"/>
          <w:highlight w:val="none"/>
        </w:rPr>
        <w:t>1233.04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37.93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642"/>
        <w:jc w:val="center"/>
        <w:rPr>
          <w:rFonts w:ascii="仿宋_GB2312" w:eastAsia="仿宋_GB2312"/>
          <w:color w:val="000000"/>
          <w:sz w:val="32"/>
          <w:highlight w:val="none"/>
        </w:rPr>
      </w:pPr>
      <w:r>
        <w:rPr>
          <w:rFonts w:hint="eastAsia" w:ascii="仿宋_GB2312" w:eastAsia="仿宋_GB2312"/>
          <w:color w:val="000000"/>
          <w:sz w:val="32"/>
          <w:highlight w:val="none"/>
        </w:rPr>
        <w:t>图2：基本支出和项目支出情况</w:t>
      </w:r>
    </w:p>
    <w:p>
      <w:pPr>
        <w:jc w:val="center"/>
        <w:rPr>
          <w:rFonts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2030.67</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798.63</w:t>
      </w:r>
      <w:r>
        <w:rPr>
          <w:rFonts w:hint="eastAsia" w:ascii="仿宋_GB2312" w:eastAsia="仿宋_GB2312"/>
          <w:sz w:val="28"/>
          <w:szCs w:val="28"/>
          <w:highlight w:val="none"/>
        </w:rPr>
        <w:t>万元，增长64.82%。主要原因：</w:t>
      </w:r>
      <w:r>
        <w:rPr>
          <w:rFonts w:hint="eastAsia" w:ascii="仿宋_GB2312" w:eastAsia="仿宋_GB2312"/>
          <w:sz w:val="28"/>
          <w:szCs w:val="28"/>
          <w:highlight w:val="none"/>
          <w:lang w:val="en-US" w:eastAsia="zh-CN"/>
        </w:rPr>
        <w:t>本单位为2023年新成立单位，财政拨款收、支出仅有两个月，2024年为全年支出情况</w:t>
      </w:r>
      <w:r>
        <w:rPr>
          <w:rFonts w:hint="eastAsia" w:ascii="仿宋_GB2312" w:eastAsia="仿宋_GB2312"/>
          <w:sz w:val="28"/>
          <w:szCs w:val="28"/>
          <w:highlight w:val="none"/>
        </w:rPr>
        <w:t xml:space="preserve">。 </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2030.67</w:t>
      </w:r>
      <w:r>
        <w:rPr>
          <w:rFonts w:hint="eastAsia" w:ascii="仿宋_GB2312" w:eastAsia="仿宋_GB2312"/>
          <w:sz w:val="28"/>
          <w:szCs w:val="28"/>
          <w:highlight w:val="none"/>
        </w:rPr>
        <w:t>万元，主要用于以下方面：社会保障和就业支出66.96万元，占本年财政拨款支出</w:t>
      </w:r>
      <w:r>
        <w:rPr>
          <w:rFonts w:hint="eastAsia" w:ascii="仿宋_GB2312" w:eastAsia="仿宋_GB2312"/>
          <w:sz w:val="28"/>
          <w:szCs w:val="28"/>
          <w:highlight w:val="none"/>
          <w:lang w:val="en-US" w:eastAsia="zh-CN"/>
        </w:rPr>
        <w:t>3.30</w:t>
      </w:r>
      <w:r>
        <w:rPr>
          <w:rFonts w:hint="eastAsia" w:ascii="仿宋_GB2312" w:eastAsia="仿宋_GB2312"/>
          <w:sz w:val="28"/>
          <w:szCs w:val="28"/>
          <w:highlight w:val="none"/>
        </w:rPr>
        <w:t>%；卫生健康支出1946.2</w:t>
      </w:r>
      <w:r>
        <w:rPr>
          <w:rFonts w:hint="eastAsia" w:ascii="仿宋_GB2312" w:eastAsia="仿宋_GB2312"/>
          <w:sz w:val="28"/>
          <w:szCs w:val="28"/>
          <w:highlight w:val="none"/>
          <w:lang w:val="en-US" w:eastAsia="zh-CN"/>
        </w:rPr>
        <w:t>1万元，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95.84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住房保障支出17.50万元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0.86</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66.96</w:t>
      </w:r>
      <w:r>
        <w:rPr>
          <w:rFonts w:hint="eastAsia" w:ascii="仿宋_GB2312" w:eastAsia="仿宋_GB2312"/>
          <w:sz w:val="28"/>
          <w:szCs w:val="28"/>
          <w:highlight w:val="none"/>
        </w:rPr>
        <w:t>万元。</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66.96</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2024年年初指标未分类，后续进行指标调剂</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1401.40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年度决算1946.2</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基层医疗卫生机构</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1181.23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1609.95万元,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我单位为新成立单位，新项目增多。</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“公共卫生”（款）202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年度决算291.4</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我单位为新成立单位2024年新招聘人员增多，新项目增多。</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年度决算44.80万元。主要原因：</w:t>
      </w:r>
      <w:r>
        <w:rPr>
          <w:rFonts w:hint="eastAsia" w:ascii="仿宋_GB2312" w:eastAsia="仿宋_GB2312"/>
          <w:sz w:val="28"/>
          <w:szCs w:val="28"/>
          <w:highlight w:val="none"/>
          <w:lang w:val="en-US" w:eastAsia="zh-CN"/>
        </w:rPr>
        <w:t>2024年年初指标未分类，后续进行指标调剂</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.“住房保障支出”(类)202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 xml:space="preserve"> 2024年度决算</w:t>
      </w:r>
      <w:r>
        <w:rPr>
          <w:rFonts w:hint="eastAsia" w:ascii="仿宋_GB2312" w:eastAsia="仿宋_GB2312"/>
          <w:sz w:val="28"/>
          <w:szCs w:val="28"/>
          <w:highlight w:val="none"/>
          <w:lang w:val="en-US" w:eastAsia="zh-CN"/>
        </w:rPr>
        <w:t>17.50</w:t>
      </w:r>
      <w:r>
        <w:rPr>
          <w:rFonts w:hint="eastAsia" w:ascii="仿宋_GB2312" w:eastAsia="仿宋_GB2312"/>
          <w:sz w:val="28"/>
          <w:szCs w:val="28"/>
          <w:highlight w:val="none"/>
        </w:rPr>
        <w:t>万元，其中：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“住房改革支出”（款）202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2024年度决算</w:t>
      </w:r>
      <w:r>
        <w:rPr>
          <w:rFonts w:hint="eastAsia" w:ascii="仿宋_GB2312" w:eastAsia="仿宋_GB2312"/>
          <w:sz w:val="28"/>
          <w:szCs w:val="28"/>
          <w:highlight w:val="none"/>
          <w:lang w:val="en-US" w:eastAsia="zh-CN"/>
        </w:rPr>
        <w:t>17.50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本项目为2024年新增项目</w:t>
      </w:r>
      <w:r>
        <w:rPr>
          <w:rFonts w:hint="eastAsia" w:ascii="仿宋_GB2312" w:eastAsia="仿宋_GB2312"/>
          <w:sz w:val="28"/>
          <w:szCs w:val="28"/>
          <w:highlight w:val="none"/>
        </w:rPr>
        <w:t>。</w:t>
      </w:r>
    </w:p>
    <w:p>
      <w:pPr>
        <w:numPr>
          <w:ilvl w:val="0"/>
          <w:numId w:val="2"/>
        </w:numPr>
        <w:spacing w:line="56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政府性基金预算财政拨款支出决算情况说明</w:t>
      </w:r>
    </w:p>
    <w:p>
      <w:pPr>
        <w:numPr>
          <w:ilvl w:val="0"/>
          <w:numId w:val="0"/>
        </w:numPr>
        <w:spacing w:line="560" w:lineRule="exact"/>
        <w:ind w:firstLine="280" w:firstLineChars="100"/>
        <w:rPr>
          <w:rFonts w:hint="eastAsia" w:ascii="仿宋_GB2312" w:eastAsia="仿宋_GB2312"/>
          <w:sz w:val="28"/>
          <w:szCs w:val="28"/>
          <w:highlight w:val="none"/>
        </w:rPr>
      </w:pPr>
      <w:r>
        <w:rPr>
          <w:rFonts w:hint="eastAsia" w:ascii="仿宋_GB2312" w:eastAsia="仿宋_GB2312"/>
          <w:sz w:val="28"/>
          <w:szCs w:val="28"/>
          <w:highlight w:val="none"/>
        </w:rPr>
        <w:t>本单位2024年度无政府性基金预算财政拨款安排的支出</w:t>
      </w:r>
      <w:r>
        <w:rPr>
          <w:rFonts w:hint="eastAsia" w:ascii="仿宋_GB2312" w:eastAsia="仿宋_GB2312"/>
          <w:sz w:val="28"/>
          <w:szCs w:val="28"/>
          <w:highlight w:val="none"/>
          <w:lang w:eastAsia="zh-CN"/>
        </w:rPr>
        <w:t>。</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ind w:firstLine="537" w:firstLineChars="192"/>
        <w:rPr>
          <w:rFonts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收入总</w:t>
      </w:r>
      <w:r>
        <w:rPr>
          <w:rFonts w:ascii="仿宋_GB2312" w:eastAsia="仿宋_GB2312"/>
          <w:sz w:val="28"/>
          <w:szCs w:val="28"/>
          <w:highlight w:val="none"/>
        </w:rPr>
        <w:t>计0</w:t>
      </w:r>
      <w:r>
        <w:rPr>
          <w:rFonts w:hint="eastAsia" w:ascii="仿宋_GB2312" w:eastAsia="仿宋_GB2312"/>
          <w:sz w:val="28"/>
          <w:szCs w:val="28"/>
          <w:highlight w:val="none"/>
        </w:rPr>
        <w:t>万元，国有资本经营预算财政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支出总</w:t>
      </w:r>
      <w:r>
        <w:rPr>
          <w:rFonts w:ascii="仿宋_GB2312" w:eastAsia="仿宋_GB2312"/>
          <w:sz w:val="28"/>
          <w:szCs w:val="28"/>
          <w:highlight w:val="none"/>
        </w:rPr>
        <w:t>计0</w:t>
      </w:r>
      <w:r>
        <w:rPr>
          <w:rFonts w:hint="eastAsia" w:ascii="仿宋_GB2312" w:eastAsia="仿宋_GB2312"/>
          <w:sz w:val="28"/>
          <w:szCs w:val="28"/>
          <w:highlight w:val="none"/>
        </w:rPr>
        <w:t>万元。</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797.63</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万元，（1）工资福利支出包括基本工资</w:t>
      </w:r>
      <w:r>
        <w:rPr>
          <w:rFonts w:ascii="仿宋_GB2312" w:eastAsia="仿宋_GB2312"/>
          <w:sz w:val="28"/>
          <w:szCs w:val="28"/>
          <w:highlight w:val="none"/>
        </w:rPr>
        <w:t>、津贴补贴、绩效工资、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办公费、手续费、水费、电费、邮电费、取暖费、培训费、委托业务费、福利费、其他商品和服务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奖励金支出</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highlight w:val="none"/>
        </w:rPr>
      </w:pPr>
    </w:p>
    <w:p>
      <w:pPr>
        <w:tabs>
          <w:tab w:val="center" w:pos="6979"/>
        </w:tabs>
        <w:spacing w:line="580" w:lineRule="exact"/>
        <w:ind w:firstLine="548" w:firstLineChars="196"/>
        <w:rPr>
          <w:rFonts w:hint="eastAsia" w:ascii="黑体" w:eastAsia="黑体"/>
          <w:b/>
          <w:sz w:val="28"/>
          <w:szCs w:val="28"/>
          <w:highlight w:val="none"/>
        </w:rPr>
      </w:pPr>
    </w:p>
    <w:p>
      <w:pPr>
        <w:tabs>
          <w:tab w:val="center" w:pos="6979"/>
        </w:tabs>
        <w:spacing w:line="580" w:lineRule="exact"/>
        <w:ind w:firstLine="548" w:firstLineChars="196"/>
        <w:rPr>
          <w:rFonts w:hint="eastAsia" w:ascii="黑体" w:eastAsia="黑体"/>
          <w:b/>
          <w:sz w:val="28"/>
          <w:szCs w:val="28"/>
          <w:highlight w:val="none"/>
        </w:rPr>
      </w:pPr>
    </w:p>
    <w:p>
      <w:pPr>
        <w:autoSpaceDE w:val="0"/>
        <w:autoSpaceDN w:val="0"/>
        <w:adjustRightInd w:val="0"/>
        <w:spacing w:line="580" w:lineRule="exact"/>
        <w:jc w:val="both"/>
        <w:rPr>
          <w:rFonts w:hint="eastAsia" w:ascii="宋体" w:hAnsi="宋体"/>
          <w:b/>
          <w:spacing w:val="40"/>
          <w:sz w:val="32"/>
          <w:szCs w:val="32"/>
          <w:highlight w:val="none"/>
        </w:rPr>
      </w:pPr>
      <w:r>
        <w:rPr>
          <w:rFonts w:ascii="仿宋_GB2312" w:eastAsia="仿宋_GB2312"/>
          <w:b/>
          <w:sz w:val="32"/>
          <w:szCs w:val="32"/>
          <w:highlight w:val="none"/>
        </w:rPr>
        <w:tab/>
      </w:r>
    </w:p>
    <w:p>
      <w:pPr>
        <w:tabs>
          <w:tab w:val="center" w:pos="6979"/>
        </w:tabs>
        <w:jc w:val="center"/>
        <w:rPr>
          <w:rFonts w:hint="eastAsia" w:ascii="宋体" w:hAnsi="宋体" w:cs="宋体"/>
          <w:b/>
          <w:spacing w:val="40"/>
          <w:kern w:val="0"/>
          <w:sz w:val="32"/>
          <w:szCs w:val="32"/>
          <w:highlight w:val="none"/>
        </w:rPr>
      </w:pP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0</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保持一致。</w:t>
      </w:r>
    </w:p>
    <w:p>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pPr>
        <w:numPr>
          <w:ilvl w:val="0"/>
          <w:numId w:val="0"/>
        </w:num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机关运行经费</w:t>
      </w:r>
      <w:r>
        <w:rPr>
          <w:rFonts w:hint="eastAsia" w:ascii="仿宋_GB2312" w:eastAsia="仿宋_GB2312"/>
          <w:sz w:val="28"/>
          <w:szCs w:val="28"/>
          <w:highlight w:val="none"/>
        </w:rPr>
        <w:t>支出合计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万元，本单位不在机关运行经费统计范围之内</w:t>
      </w:r>
      <w:r>
        <w:rPr>
          <w:rFonts w:hint="eastAsia" w:ascii="仿宋_GB2312" w:eastAsia="仿宋_GB2312"/>
          <w:sz w:val="28"/>
          <w:szCs w:val="28"/>
          <w:highlight w:val="none"/>
          <w:lang w:eastAsia="zh-CN"/>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890.68</w:t>
      </w:r>
      <w:r>
        <w:rPr>
          <w:rFonts w:hint="eastAsia" w:ascii="仿宋_GB2312" w:eastAsia="仿宋_GB2312"/>
          <w:sz w:val="28"/>
          <w:szCs w:val="28"/>
          <w:highlight w:val="none"/>
        </w:rPr>
        <w:t>万元，其中：政府采购货物支出880.7</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9.96</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430.62</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48.35</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393.05</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44.13</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12月31日，北京市大兴区观音寺街道社区卫生服务中心</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台；单位价值100万元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台（套）。</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ascii="仿宋_GB2312" w:eastAsia="仿宋_GB2312"/>
          <w:sz w:val="28"/>
          <w:szCs w:val="28"/>
          <w:highlight w:val="none"/>
        </w:rPr>
        <w:t>政府购买服务决算0</w:t>
      </w:r>
      <w:r>
        <w:rPr>
          <w:rFonts w:hint="eastAsia" w:ascii="仿宋_GB2312" w:eastAsia="仿宋_GB2312"/>
          <w:sz w:val="28"/>
          <w:szCs w:val="28"/>
          <w:highlight w:val="none"/>
        </w:rPr>
        <w:t>万元。</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rPr>
        <w:t xml:space="preserve">7. </w:t>
      </w:r>
      <w:r>
        <w:rPr>
          <w:rFonts w:hint="eastAsia" w:ascii="仿宋_GB2312" w:eastAsia="仿宋_GB2312"/>
          <w:sz w:val="28"/>
          <w:szCs w:val="28"/>
          <w:highlight w:val="none"/>
          <w:lang w:val="en-US" w:eastAsia="zh-CN"/>
        </w:rPr>
        <w:t>社会保障和就业支出（类）行政事业单位养老支出（款）机关事业单位基本养老保险缴费支出（项）：反映用于机关事业单位实施养老保险制度由单位缴纳的基本养老保险费支出。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8.社会保障和就业支出（类）行政事业单位养老支出（款）机关事业单位职业年金缴费支出（项）：反映用于机关事业单位实施养老保险制度由单位实际缴纳的职业年金支出。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9.卫生健康支出（类）基层医疗卫生机构（款）城市社区卫生机构（项）：反映用于城市社区卫生机构的支出；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10.卫生健康支出（类）基层医疗卫生机构（款）其他基层医疗卫生机构支出（项）：反映除上述项目以外的其他用于基层医疗卫生机构的支出；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11.卫生健康支出（类）公共卫生（款）基本公共卫生服务（项）：反映基本公共卫生服务支出。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12.卫生健康支出（类）公共卫生（款）重大公共卫生服务（项）：反映重大疾病、重大传染病预防控制等重大公共卫生服务项目支出。 </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13.卫生健康支出（类）行政事业单位医疗（款）事业单位医疗（项）：反映用于事业单位的公费医疗经费；</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14.卫生健康支出（类）行政事业单位医疗（款）公务员医疗补助（项）:反映财政部门安排的公务员医疗补助经费；</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15.卫生健康支出（类）其他卫生健康支出（款）其他卫生健康支出（项）：反应除上述项目以外的其他用于卫生健康方面的支出。</w:t>
      </w:r>
    </w:p>
    <w:p>
      <w:pPr>
        <w:ind w:firstLine="420" w:firstLineChars="150"/>
        <w:rPr>
          <w:rFonts w:hint="eastAsia" w:ascii="黑体" w:eastAsia="黑体"/>
          <w:sz w:val="32"/>
          <w:szCs w:val="32"/>
          <w:highlight w:val="none"/>
        </w:rPr>
      </w:pPr>
      <w:r>
        <w:rPr>
          <w:rFonts w:hint="eastAsia" w:ascii="仿宋_GB2312" w:eastAsia="仿宋_GB2312"/>
          <w:sz w:val="28"/>
          <w:szCs w:val="28"/>
          <w:highlight w:val="none"/>
          <w:lang w:val="en-US" w:eastAsia="zh-CN"/>
        </w:rPr>
        <w:t xml:space="preserve">16.住房保障支出（类）住房改革支出（款）购房补贴（项）：反映符合条件的机关事业单位职工在国家住房保障体系部分支出。 </w:t>
      </w:r>
    </w:p>
    <w:p>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4</w:t>
      </w:r>
      <w:r>
        <w:rPr>
          <w:rFonts w:hint="eastAsia" w:ascii="黑体" w:eastAsia="黑体"/>
          <w:sz w:val="32"/>
          <w:szCs w:val="32"/>
          <w:highlight w:val="none"/>
        </w:rPr>
        <w:t>年度部门绩效评价情况</w:t>
      </w:r>
    </w:p>
    <w:p>
      <w:pPr>
        <w:ind w:firstLine="1120" w:firstLineChars="400"/>
        <w:jc w:val="left"/>
        <w:rPr>
          <w:rFonts w:hint="eastAsia" w:ascii="仿宋_GB2312" w:eastAsia="仿宋_GB2312"/>
          <w:sz w:val="28"/>
          <w:szCs w:val="28"/>
          <w:highlight w:val="none"/>
          <w:lang w:val="en-US" w:eastAsia="zh-CN"/>
        </w:rPr>
      </w:pPr>
      <w:r>
        <w:rPr>
          <w:rFonts w:hint="eastAsia" w:ascii="仿宋_GB2312" w:eastAsia="仿宋_GB2312"/>
          <w:b w:val="0"/>
          <w:bCs w:val="0"/>
          <w:sz w:val="28"/>
          <w:szCs w:val="28"/>
          <w:highlight w:val="none"/>
          <w:lang w:val="en-US" w:eastAsia="zh-CN"/>
        </w:rPr>
        <w:t>绩效评价</w:t>
      </w:r>
      <w:r>
        <w:rPr>
          <w:rFonts w:hint="eastAsia" w:ascii="仿宋_GB2312" w:eastAsia="仿宋_GB2312"/>
          <w:b w:val="0"/>
          <w:bCs w:val="0"/>
          <w:sz w:val="28"/>
          <w:szCs w:val="28"/>
          <w:highlight w:val="none"/>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4E22B0"/>
    <w:multiLevelType w:val="singleLevel"/>
    <w:tmpl w:val="C24E22B0"/>
    <w:lvl w:ilvl="0" w:tentative="0">
      <w:start w:val="2"/>
      <w:numFmt w:val="decimal"/>
      <w:suff w:val="nothing"/>
      <w:lvlText w:val="%1、"/>
      <w:lvlJc w:val="left"/>
    </w:lvl>
  </w:abstractNum>
  <w:abstractNum w:abstractNumId="1">
    <w:nsid w:val="49932463"/>
    <w:multiLevelType w:val="singleLevel"/>
    <w:tmpl w:val="49932463"/>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36335D"/>
    <w:rsid w:val="02F120AB"/>
    <w:rsid w:val="032B5196"/>
    <w:rsid w:val="0462668B"/>
    <w:rsid w:val="04C3537C"/>
    <w:rsid w:val="079004AC"/>
    <w:rsid w:val="0B035812"/>
    <w:rsid w:val="0B0A4B64"/>
    <w:rsid w:val="0B370D50"/>
    <w:rsid w:val="0BA148CA"/>
    <w:rsid w:val="0C1165C4"/>
    <w:rsid w:val="0D6D544B"/>
    <w:rsid w:val="0DD136FE"/>
    <w:rsid w:val="0F542F2C"/>
    <w:rsid w:val="0F8E2C57"/>
    <w:rsid w:val="1059665E"/>
    <w:rsid w:val="10AC13BA"/>
    <w:rsid w:val="11C269BB"/>
    <w:rsid w:val="11D52002"/>
    <w:rsid w:val="145A6C1B"/>
    <w:rsid w:val="14B73493"/>
    <w:rsid w:val="167A2FF9"/>
    <w:rsid w:val="16BC1C2B"/>
    <w:rsid w:val="1764587C"/>
    <w:rsid w:val="18581C69"/>
    <w:rsid w:val="1AEC0734"/>
    <w:rsid w:val="1CFA1843"/>
    <w:rsid w:val="1DBE44DB"/>
    <w:rsid w:val="1DEF20B0"/>
    <w:rsid w:val="1E6D7CAF"/>
    <w:rsid w:val="1FF7AB17"/>
    <w:rsid w:val="20E47D20"/>
    <w:rsid w:val="214243FA"/>
    <w:rsid w:val="21AD613C"/>
    <w:rsid w:val="21EB619F"/>
    <w:rsid w:val="22467189"/>
    <w:rsid w:val="24030CE7"/>
    <w:rsid w:val="24575628"/>
    <w:rsid w:val="257A14F5"/>
    <w:rsid w:val="27196C26"/>
    <w:rsid w:val="27CD791B"/>
    <w:rsid w:val="29424212"/>
    <w:rsid w:val="29EF086F"/>
    <w:rsid w:val="2BC34C59"/>
    <w:rsid w:val="2CDB05B0"/>
    <w:rsid w:val="2E9F1BA0"/>
    <w:rsid w:val="2EE93382"/>
    <w:rsid w:val="2EF7784D"/>
    <w:rsid w:val="2EFFE297"/>
    <w:rsid w:val="301437CA"/>
    <w:rsid w:val="308B371B"/>
    <w:rsid w:val="30CE20D8"/>
    <w:rsid w:val="320622E1"/>
    <w:rsid w:val="349D1F0A"/>
    <w:rsid w:val="34DD0473"/>
    <w:rsid w:val="36253E76"/>
    <w:rsid w:val="387518FE"/>
    <w:rsid w:val="38B96C99"/>
    <w:rsid w:val="3A8E35DC"/>
    <w:rsid w:val="3B627275"/>
    <w:rsid w:val="3C684897"/>
    <w:rsid w:val="430F56AE"/>
    <w:rsid w:val="433E495C"/>
    <w:rsid w:val="4345465D"/>
    <w:rsid w:val="45931AF9"/>
    <w:rsid w:val="489F2FD7"/>
    <w:rsid w:val="4A745D9D"/>
    <w:rsid w:val="4AC27CB3"/>
    <w:rsid w:val="4BF72BEF"/>
    <w:rsid w:val="4CA507EA"/>
    <w:rsid w:val="4FA90297"/>
    <w:rsid w:val="4FC41A43"/>
    <w:rsid w:val="502B5150"/>
    <w:rsid w:val="503B5A51"/>
    <w:rsid w:val="51DB3C59"/>
    <w:rsid w:val="550C0952"/>
    <w:rsid w:val="55762E42"/>
    <w:rsid w:val="55EE4C56"/>
    <w:rsid w:val="57754172"/>
    <w:rsid w:val="57A7B272"/>
    <w:rsid w:val="58470068"/>
    <w:rsid w:val="58747CAC"/>
    <w:rsid w:val="5A1720F9"/>
    <w:rsid w:val="5B9C37C2"/>
    <w:rsid w:val="5BA7C654"/>
    <w:rsid w:val="5DF716AE"/>
    <w:rsid w:val="5F773F0E"/>
    <w:rsid w:val="5F9F507E"/>
    <w:rsid w:val="60A54109"/>
    <w:rsid w:val="61D01CDF"/>
    <w:rsid w:val="62F85366"/>
    <w:rsid w:val="63690012"/>
    <w:rsid w:val="6483629A"/>
    <w:rsid w:val="64C0607C"/>
    <w:rsid w:val="65756C86"/>
    <w:rsid w:val="674D385B"/>
    <w:rsid w:val="676F09E1"/>
    <w:rsid w:val="69164798"/>
    <w:rsid w:val="6A590A9E"/>
    <w:rsid w:val="6AFC176B"/>
    <w:rsid w:val="6B6A5021"/>
    <w:rsid w:val="6CA67BE1"/>
    <w:rsid w:val="6CE24F45"/>
    <w:rsid w:val="6EC16F54"/>
    <w:rsid w:val="6F5E6659"/>
    <w:rsid w:val="71691990"/>
    <w:rsid w:val="71704C61"/>
    <w:rsid w:val="71793A80"/>
    <w:rsid w:val="73410931"/>
    <w:rsid w:val="7357290B"/>
    <w:rsid w:val="756E3DEA"/>
    <w:rsid w:val="76FB1693"/>
    <w:rsid w:val="798524E4"/>
    <w:rsid w:val="7A7F1C49"/>
    <w:rsid w:val="7B5B7AE6"/>
    <w:rsid w:val="7B7B6628"/>
    <w:rsid w:val="7BA7071E"/>
    <w:rsid w:val="7BDF6DA8"/>
    <w:rsid w:val="7C7EDC1A"/>
    <w:rsid w:val="7CCED98D"/>
    <w:rsid w:val="7D08410F"/>
    <w:rsid w:val="7DB96DED"/>
    <w:rsid w:val="7DD3AD81"/>
    <w:rsid w:val="7DEE13E8"/>
    <w:rsid w:val="7DFFF77E"/>
    <w:rsid w:val="7E1D3A7B"/>
    <w:rsid w:val="7EB84C95"/>
    <w:rsid w:val="7F53A862"/>
    <w:rsid w:val="7F7FE70F"/>
    <w:rsid w:val="7FB404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5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2013.17</c:v>
                </c:pt>
                <c:pt idx="1">
                  <c:v>0</c:v>
                </c:pt>
                <c:pt idx="2">
                  <c:v>1277.69</c:v>
                </c:pt>
                <c:pt idx="3">
                  <c:v>0</c:v>
                </c:pt>
                <c:pt idx="4">
                  <c:v>0</c:v>
                </c:pt>
                <c:pt idx="5">
                  <c:v>0.15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2018.15</c:v>
                </c:pt>
                <c:pt idx="1">
                  <c:v>1233.04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3489</Words>
  <Characters>3941</Characters>
  <Lines>44</Lines>
  <Paragraphs>12</Paragraphs>
  <TotalTime>2</TotalTime>
  <ScaleCrop>false</ScaleCrop>
  <LinksUpToDate>false</LinksUpToDate>
  <CharactersWithSpaces>3965</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Lenovo-25</cp:lastModifiedBy>
  <cp:lastPrinted>2020-08-09T03:39:00Z</cp:lastPrinted>
  <dcterms:modified xsi:type="dcterms:W3CDTF">2025-09-29T11:57:15Z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A7F78878FB63AC2F75B4B7682BD79272</vt:lpwstr>
  </property>
  <property fmtid="{D5CDD505-2E9C-101B-9397-08002B2CF9AE}" pid="4" name="KSOTemplateDocerSaveRecord">
    <vt:lpwstr>eyJoZGlkIjoiZDgzODI0NzU0OWNiZmEzZWVhZjYxYTQwMzFkYTE1YWMiLCJ1c2VySWQiOiIxNjI5ODQ0ODI0In0=</vt:lpwstr>
  </property>
</Properties>
</file>