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北京市大兴区林校路街道社区卫生服务中心位于大兴区林校路车站南里，是集医疗、预防、康复、健康教育、健康管理指导为一体的综合性基层医疗卫生服务机构。中心占地面积12399平米，服务辖区人口约7万余人，承担辖区居民公共卫生和基本医疗职能。</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2．机构情况：</w:t>
      </w:r>
      <w:r>
        <w:rPr>
          <w:rFonts w:hint="eastAsia" w:ascii="仿宋_GB2312" w:eastAsia="仿宋_GB2312"/>
          <w:kern w:val="0"/>
          <w:sz w:val="28"/>
          <w:szCs w:val="28"/>
          <w:lang w:val="en-US" w:eastAsia="zh-CN"/>
        </w:rPr>
        <w:t>内设机构职能科室8个，包括行政办公室、组织人事科、财务科、医务科、公共卫生科、护理部、总务安保科、药械科；业务科室11个，包括预防保健科、妇儿保健科、精神卫生防治科、中医科、</w:t>
      </w:r>
      <w:r>
        <w:rPr>
          <w:rFonts w:hint="eastAsia" w:ascii="仿宋_GB2312" w:eastAsia="仿宋_GB2312"/>
          <w:kern w:val="0"/>
          <w:sz w:val="28"/>
          <w:szCs w:val="28"/>
        </w:rPr>
        <w:t>全科门诊</w:t>
      </w:r>
      <w:r>
        <w:rPr>
          <w:rFonts w:hint="eastAsia" w:ascii="仿宋_GB2312" w:eastAsia="仿宋_GB2312"/>
          <w:kern w:val="0"/>
          <w:sz w:val="28"/>
          <w:szCs w:val="28"/>
          <w:lang w:val="en-US" w:eastAsia="zh-CN"/>
        </w:rPr>
        <w:t>及6个社区站</w:t>
      </w:r>
      <w:r>
        <w:rPr>
          <w:rFonts w:hint="eastAsia" w:ascii="仿宋_GB2312" w:eastAsia="仿宋_GB2312"/>
          <w:kern w:val="0"/>
          <w:sz w:val="28"/>
          <w:szCs w:val="28"/>
        </w:rPr>
        <w:t>，其中清澄名苑社区站位于兴丰街道。</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2768.67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2768.67</w:t>
      </w:r>
      <w:r>
        <w:rPr>
          <w:rFonts w:hint="eastAsia" w:ascii="仿宋_GB2312" w:eastAsia="仿宋_GB2312"/>
          <w:sz w:val="28"/>
          <w:szCs w:val="28"/>
        </w:rPr>
        <w:t>万元。</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2768.67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2768.67</w:t>
      </w:r>
      <w:r>
        <w:rPr>
          <w:rFonts w:hint="eastAsia" w:ascii="仿宋_GB2312" w:eastAsia="仿宋_GB2312"/>
          <w:sz w:val="28"/>
          <w:szCs w:val="28"/>
        </w:rPr>
        <w:t>万元。</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1088.44</w:t>
      </w:r>
      <w:r>
        <w:rPr>
          <w:rFonts w:hint="eastAsia" w:ascii="仿宋_GB2312" w:eastAsia="仿宋_GB2312"/>
          <w:sz w:val="28"/>
          <w:szCs w:val="28"/>
        </w:rPr>
        <w:t>万元，占收入合计的</w:t>
      </w:r>
      <w:r>
        <w:rPr>
          <w:rFonts w:hint="eastAsia" w:ascii="仿宋_GB2312" w:eastAsia="仿宋_GB2312"/>
          <w:sz w:val="28"/>
          <w:szCs w:val="28"/>
          <w:lang w:eastAsia="zh-CN"/>
        </w:rPr>
        <w:t>39.31%。</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1088.44</w:t>
      </w:r>
      <w:r>
        <w:rPr>
          <w:rFonts w:hint="eastAsia" w:ascii="仿宋_GB2312" w:eastAsia="仿宋_GB2312"/>
          <w:sz w:val="28"/>
          <w:szCs w:val="28"/>
        </w:rPr>
        <w:t>万元，占收入合计的</w:t>
      </w:r>
      <w:r>
        <w:rPr>
          <w:rFonts w:hint="eastAsia" w:ascii="仿宋_GB2312" w:eastAsia="仿宋_GB2312"/>
          <w:sz w:val="28"/>
          <w:szCs w:val="28"/>
          <w:lang w:val="en-US" w:eastAsia="zh-CN"/>
        </w:rPr>
        <w:t>39.31</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1679.82</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60.67</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0.42</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0.02</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1292.57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1292.57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681.55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52.73</w:t>
      </w:r>
      <w:r>
        <w:rPr>
          <w:rFonts w:hint="eastAsia" w:ascii="仿宋_GB2312" w:eastAsia="仿宋_GB2312"/>
          <w:sz w:val="28"/>
          <w:szCs w:val="28"/>
          <w:highlight w:val="none"/>
        </w:rPr>
        <w:t>%；项目支出</w:t>
      </w:r>
      <w:r>
        <w:rPr>
          <w:rFonts w:ascii="仿宋_GB2312" w:eastAsia="仿宋_GB2312"/>
          <w:sz w:val="28"/>
          <w:szCs w:val="28"/>
          <w:highlight w:val="none"/>
        </w:rPr>
        <w:t>611.02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47.27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1088.44</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1088.44</w:t>
      </w:r>
      <w:r>
        <w:rPr>
          <w:rFonts w:hint="eastAsia" w:ascii="仿宋_GB2312" w:eastAsia="仿宋_GB2312"/>
          <w:sz w:val="28"/>
          <w:szCs w:val="28"/>
        </w:rPr>
        <w:t>万元。主要原因：</w:t>
      </w:r>
      <w:r>
        <w:rPr>
          <w:rFonts w:hint="eastAsia" w:ascii="仿宋_GB2312" w:eastAsia="仿宋_GB2312"/>
          <w:sz w:val="28"/>
          <w:szCs w:val="28"/>
          <w:lang w:val="en-US" w:eastAsia="zh-CN"/>
        </w:rPr>
        <w:t>我单位2024年11月起财务独立核算</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1088.44</w:t>
      </w:r>
      <w:r>
        <w:rPr>
          <w:rFonts w:hint="eastAsia" w:ascii="仿宋_GB2312" w:eastAsia="仿宋_GB2312"/>
          <w:sz w:val="28"/>
          <w:szCs w:val="28"/>
        </w:rPr>
        <w:t>万元，</w:t>
      </w:r>
      <w:r>
        <w:rPr>
          <w:rFonts w:hint="eastAsia" w:ascii="仿宋_GB2312" w:eastAsia="仿宋_GB2312"/>
          <w:sz w:val="28"/>
          <w:szCs w:val="28"/>
          <w:highlight w:val="none"/>
        </w:rPr>
        <w:t>主要用于以下方面（按大类）：</w:t>
      </w:r>
      <w:r>
        <w:rPr>
          <w:rFonts w:hint="eastAsia" w:ascii="仿宋_GB2312" w:eastAsia="仿宋_GB2312"/>
          <w:sz w:val="28"/>
          <w:szCs w:val="28"/>
          <w:highlight w:val="none"/>
          <w:lang w:val="en-US" w:eastAsia="zh-CN"/>
        </w:rPr>
        <w:t>社会保障和就业</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75.98</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6.98</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卫生健康支出1012.46万元，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93.02</w:t>
      </w:r>
      <w:r>
        <w:rPr>
          <w:rFonts w:hint="eastAsia" w:ascii="仿宋_GB2312" w:eastAsia="仿宋_GB2312"/>
          <w:sz w:val="28"/>
          <w:szCs w:val="28"/>
          <w:highlight w:val="none"/>
        </w:rPr>
        <w:t>%</w:t>
      </w:r>
      <w:r>
        <w:rPr>
          <w:rFonts w:hint="eastAsia" w:ascii="仿宋_GB2312" w:eastAsia="仿宋_GB2312"/>
          <w:sz w:val="28"/>
          <w:szCs w:val="28"/>
        </w:rPr>
        <w:t>。</w:t>
      </w:r>
      <w:bookmarkStart w:id="0" w:name="_GoBack"/>
      <w:bookmarkEnd w:id="0"/>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1.“社会保障和就业支出”（类）2024年度决算</w:t>
      </w:r>
      <w:r>
        <w:rPr>
          <w:rFonts w:hint="eastAsia" w:ascii="仿宋_GB2312" w:eastAsia="仿宋_GB2312"/>
          <w:sz w:val="28"/>
          <w:szCs w:val="28"/>
          <w:highlight w:val="none"/>
          <w:lang w:val="en-US" w:eastAsia="zh-CN"/>
        </w:rPr>
        <w:t>75.98</w:t>
      </w:r>
      <w:r>
        <w:rPr>
          <w:rFonts w:hint="eastAsia" w:ascii="仿宋_GB2312" w:eastAsia="仿宋_GB2312"/>
          <w:sz w:val="28"/>
          <w:szCs w:val="28"/>
          <w:highlight w:val="none"/>
        </w:rPr>
        <w:t>万元，2024年度年初预算</w:t>
      </w:r>
      <w:r>
        <w:rPr>
          <w:rFonts w:hint="eastAsia" w:ascii="仿宋_GB2312" w:eastAsia="仿宋_GB2312"/>
          <w:sz w:val="28"/>
          <w:szCs w:val="28"/>
          <w:highlight w:val="none"/>
          <w:lang w:val="en-US" w:eastAsia="zh-CN"/>
        </w:rPr>
        <w:t>204.95</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完成年初预算的37</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“行政事业单位养老支出”（款）2024年度决算</w:t>
      </w:r>
      <w:r>
        <w:rPr>
          <w:rFonts w:hint="eastAsia" w:ascii="仿宋_GB2312" w:eastAsia="仿宋_GB2312"/>
          <w:sz w:val="28"/>
          <w:szCs w:val="28"/>
          <w:highlight w:val="none"/>
          <w:lang w:val="en-US" w:eastAsia="zh-CN"/>
        </w:rPr>
        <w:t>75.98</w:t>
      </w:r>
      <w:r>
        <w:rPr>
          <w:rFonts w:hint="eastAsia" w:ascii="仿宋_GB2312" w:eastAsia="仿宋_GB2312"/>
          <w:sz w:val="28"/>
          <w:szCs w:val="28"/>
          <w:highlight w:val="none"/>
        </w:rPr>
        <w:t>万元，2024年度年初预算</w:t>
      </w:r>
      <w:r>
        <w:rPr>
          <w:rFonts w:hint="eastAsia" w:ascii="仿宋_GB2312" w:eastAsia="仿宋_GB2312"/>
          <w:sz w:val="28"/>
          <w:szCs w:val="28"/>
          <w:highlight w:val="none"/>
          <w:lang w:val="en-US" w:eastAsia="zh-CN"/>
        </w:rPr>
        <w:t>204.95</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完成年初预算的37</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我单位2024年11月独立运行，财务独立核算</w:t>
      </w:r>
      <w:r>
        <w:rPr>
          <w:rFonts w:hint="eastAsia" w:ascii="仿宋_GB2312" w:eastAsia="仿宋_GB2312"/>
          <w:sz w:val="28"/>
          <w:szCs w:val="28"/>
          <w:highlight w:val="none"/>
        </w:rPr>
        <w:t>。</w:t>
      </w:r>
    </w:p>
    <w:p>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“卫生健康支出”(类) 2024年度决算</w:t>
      </w:r>
      <w:r>
        <w:rPr>
          <w:rFonts w:hint="eastAsia" w:ascii="仿宋_GB2312" w:eastAsia="仿宋_GB2312"/>
          <w:sz w:val="28"/>
          <w:szCs w:val="28"/>
          <w:highlight w:val="none"/>
          <w:lang w:val="en-US" w:eastAsia="zh-CN"/>
        </w:rPr>
        <w:t>1012.46</w:t>
      </w:r>
      <w:r>
        <w:rPr>
          <w:rFonts w:hint="eastAsia" w:ascii="仿宋_GB2312" w:eastAsia="仿宋_GB2312"/>
          <w:sz w:val="28"/>
          <w:szCs w:val="28"/>
          <w:highlight w:val="none"/>
        </w:rPr>
        <w:t>万元，2024年度年初预算</w:t>
      </w:r>
      <w:r>
        <w:rPr>
          <w:rFonts w:hint="eastAsia" w:ascii="仿宋_GB2312" w:eastAsia="仿宋_GB2312"/>
          <w:sz w:val="28"/>
          <w:szCs w:val="28"/>
          <w:highlight w:val="none"/>
          <w:lang w:val="en-US" w:eastAsia="zh-CN"/>
        </w:rPr>
        <w:t>1565.77万</w:t>
      </w:r>
      <w:r>
        <w:rPr>
          <w:rFonts w:hint="eastAsia" w:ascii="仿宋_GB2312" w:eastAsia="仿宋_GB2312"/>
          <w:sz w:val="28"/>
          <w:szCs w:val="28"/>
          <w:highlight w:val="none"/>
        </w:rPr>
        <w:t>元，</w:t>
      </w:r>
      <w:r>
        <w:rPr>
          <w:rFonts w:hint="eastAsia" w:ascii="仿宋_GB2312" w:eastAsia="仿宋_GB2312"/>
          <w:sz w:val="28"/>
          <w:szCs w:val="28"/>
          <w:highlight w:val="none"/>
          <w:lang w:val="en-US" w:eastAsia="zh-CN"/>
        </w:rPr>
        <w:t>完成年初预算的65</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“基层医疗卫生机构”（款）2024年度决算</w:t>
      </w:r>
      <w:r>
        <w:rPr>
          <w:rFonts w:hint="eastAsia" w:ascii="仿宋_GB2312" w:eastAsia="仿宋_GB2312"/>
          <w:sz w:val="28"/>
          <w:szCs w:val="28"/>
          <w:highlight w:val="none"/>
          <w:lang w:val="en-US" w:eastAsia="zh-CN"/>
        </w:rPr>
        <w:t>759.03</w:t>
      </w:r>
      <w:r>
        <w:rPr>
          <w:rFonts w:hint="eastAsia" w:ascii="仿宋_GB2312" w:eastAsia="仿宋_GB2312"/>
          <w:sz w:val="28"/>
          <w:szCs w:val="28"/>
          <w:highlight w:val="none"/>
        </w:rPr>
        <w:t>万元，2024年度年初预算</w:t>
      </w:r>
      <w:r>
        <w:rPr>
          <w:rFonts w:hint="eastAsia" w:ascii="仿宋_GB2312" w:eastAsia="仿宋_GB2312"/>
          <w:sz w:val="28"/>
          <w:szCs w:val="28"/>
          <w:highlight w:val="none"/>
          <w:lang w:val="en-US" w:eastAsia="zh-CN"/>
        </w:rPr>
        <w:t>1083.63万</w:t>
      </w:r>
      <w:r>
        <w:rPr>
          <w:rFonts w:hint="eastAsia" w:ascii="仿宋_GB2312" w:eastAsia="仿宋_GB2312"/>
          <w:sz w:val="28"/>
          <w:szCs w:val="28"/>
          <w:highlight w:val="none"/>
        </w:rPr>
        <w:t>元，</w:t>
      </w:r>
      <w:r>
        <w:rPr>
          <w:rFonts w:hint="eastAsia" w:ascii="仿宋_GB2312" w:eastAsia="仿宋_GB2312"/>
          <w:sz w:val="28"/>
          <w:szCs w:val="28"/>
          <w:highlight w:val="none"/>
          <w:lang w:val="en-US" w:eastAsia="zh-CN"/>
        </w:rPr>
        <w:t>完成年初预算的70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我单位2024年11月独立运行，财务独立核算</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highlight w:val="none"/>
        </w:rPr>
        <w:t>“公共卫生”（款）2024年度决算</w:t>
      </w:r>
      <w:r>
        <w:rPr>
          <w:rFonts w:hint="eastAsia" w:ascii="仿宋_GB2312" w:eastAsia="仿宋_GB2312"/>
          <w:sz w:val="28"/>
          <w:szCs w:val="28"/>
          <w:highlight w:val="none"/>
          <w:lang w:val="en-US" w:eastAsia="zh-CN"/>
        </w:rPr>
        <w:t>195</w:t>
      </w:r>
      <w:r>
        <w:rPr>
          <w:rFonts w:hint="eastAsia" w:ascii="仿宋_GB2312" w:eastAsia="仿宋_GB2312"/>
          <w:sz w:val="28"/>
          <w:szCs w:val="28"/>
          <w:highlight w:val="none"/>
        </w:rPr>
        <w:t>万元，2024年度年初预算</w:t>
      </w:r>
      <w:r>
        <w:rPr>
          <w:rFonts w:hint="eastAsia" w:ascii="仿宋_GB2312" w:eastAsia="仿宋_GB2312"/>
          <w:sz w:val="28"/>
          <w:szCs w:val="28"/>
          <w:highlight w:val="none"/>
          <w:lang w:val="en-US" w:eastAsia="zh-CN"/>
        </w:rPr>
        <w:t>350万</w:t>
      </w:r>
      <w:r>
        <w:rPr>
          <w:rFonts w:hint="eastAsia" w:ascii="仿宋_GB2312" w:eastAsia="仿宋_GB2312"/>
          <w:sz w:val="28"/>
          <w:szCs w:val="28"/>
          <w:highlight w:val="none"/>
        </w:rPr>
        <w:t>元，</w:t>
      </w:r>
      <w:r>
        <w:rPr>
          <w:rFonts w:hint="eastAsia" w:ascii="仿宋_GB2312" w:eastAsia="仿宋_GB2312"/>
          <w:sz w:val="28"/>
          <w:szCs w:val="28"/>
          <w:highlight w:val="none"/>
          <w:lang w:val="en-US" w:eastAsia="zh-CN"/>
        </w:rPr>
        <w:t>完成年初预算的56</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我单位2024年11月独立运行，财务独立核算</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“行政事业单位医疗”（款）2024年度决算</w:t>
      </w:r>
      <w:r>
        <w:rPr>
          <w:rFonts w:hint="eastAsia" w:ascii="仿宋_GB2312" w:eastAsia="仿宋_GB2312"/>
          <w:sz w:val="28"/>
          <w:szCs w:val="28"/>
          <w:highlight w:val="none"/>
          <w:lang w:val="en-US" w:eastAsia="zh-CN"/>
        </w:rPr>
        <w:t>51.84</w:t>
      </w:r>
      <w:r>
        <w:rPr>
          <w:rFonts w:hint="eastAsia" w:ascii="仿宋_GB2312" w:eastAsia="仿宋_GB2312"/>
          <w:sz w:val="28"/>
          <w:szCs w:val="28"/>
          <w:highlight w:val="none"/>
        </w:rPr>
        <w:t>万元，2024年度年初预算</w:t>
      </w:r>
      <w:r>
        <w:rPr>
          <w:rFonts w:hint="eastAsia" w:ascii="仿宋_GB2312" w:eastAsia="仿宋_GB2312"/>
          <w:sz w:val="28"/>
          <w:szCs w:val="28"/>
          <w:highlight w:val="none"/>
          <w:lang w:val="en-US" w:eastAsia="zh-CN"/>
        </w:rPr>
        <w:t>126.5万</w:t>
      </w:r>
      <w:r>
        <w:rPr>
          <w:rFonts w:hint="eastAsia" w:ascii="仿宋_GB2312" w:eastAsia="仿宋_GB2312"/>
          <w:sz w:val="28"/>
          <w:szCs w:val="28"/>
          <w:highlight w:val="none"/>
        </w:rPr>
        <w:t>元，</w:t>
      </w:r>
      <w:r>
        <w:rPr>
          <w:rFonts w:hint="eastAsia" w:ascii="仿宋_GB2312" w:eastAsia="仿宋_GB2312"/>
          <w:sz w:val="28"/>
          <w:szCs w:val="28"/>
          <w:highlight w:val="none"/>
          <w:lang w:val="en-US" w:eastAsia="zh-CN"/>
        </w:rPr>
        <w:t>完成年初预算的41</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我单位2024年11月独立运行，财务独立核算</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“中医药事务”（款）2024年度决算</w:t>
      </w:r>
      <w:r>
        <w:rPr>
          <w:rFonts w:hint="eastAsia" w:ascii="仿宋_GB2312" w:eastAsia="仿宋_GB2312"/>
          <w:sz w:val="28"/>
          <w:szCs w:val="28"/>
          <w:highlight w:val="none"/>
          <w:lang w:val="en-US" w:eastAsia="zh-CN"/>
        </w:rPr>
        <w:t>6.6</w:t>
      </w:r>
      <w:r>
        <w:rPr>
          <w:rFonts w:hint="eastAsia" w:ascii="仿宋_GB2312" w:eastAsia="仿宋_GB2312"/>
          <w:sz w:val="28"/>
          <w:szCs w:val="28"/>
          <w:highlight w:val="none"/>
        </w:rPr>
        <w:t>万元，2024年度年初预算</w:t>
      </w:r>
      <w:r>
        <w:rPr>
          <w:rFonts w:hint="eastAsia" w:ascii="仿宋_GB2312" w:eastAsia="仿宋_GB2312"/>
          <w:sz w:val="28"/>
          <w:szCs w:val="28"/>
          <w:highlight w:val="none"/>
          <w:lang w:val="en-US" w:eastAsia="zh-CN"/>
        </w:rPr>
        <w:t>5万</w:t>
      </w:r>
      <w:r>
        <w:rPr>
          <w:rFonts w:hint="eastAsia" w:ascii="仿宋_GB2312" w:eastAsia="仿宋_GB2312"/>
          <w:sz w:val="28"/>
          <w:szCs w:val="28"/>
          <w:highlight w:val="none"/>
        </w:rPr>
        <w:t>元，</w:t>
      </w:r>
      <w:r>
        <w:rPr>
          <w:rFonts w:hint="eastAsia" w:ascii="仿宋_GB2312" w:eastAsia="仿宋_GB2312"/>
          <w:sz w:val="28"/>
          <w:szCs w:val="28"/>
          <w:highlight w:val="none"/>
          <w:lang w:val="en-US" w:eastAsia="zh-CN"/>
        </w:rPr>
        <w:t>完成年初预算的132</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新增的1.6万元</w:t>
      </w:r>
      <w:r>
        <w:rPr>
          <w:rFonts w:hint="eastAsia" w:ascii="仿宋_GB2312" w:eastAsia="仿宋_GB2312"/>
          <w:sz w:val="28"/>
          <w:szCs w:val="28"/>
          <w:highlight w:val="none"/>
        </w:rPr>
        <w:t>中医药项目经费不属于年初预算范围。</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“其他卫生健康支出”（款）2024年度决算</w:t>
      </w:r>
      <w:r>
        <w:rPr>
          <w:rFonts w:hint="eastAsia" w:ascii="仿宋_GB2312" w:eastAsia="仿宋_GB2312"/>
          <w:sz w:val="28"/>
          <w:szCs w:val="28"/>
          <w:highlight w:val="none"/>
          <w:lang w:val="en-US" w:eastAsia="zh-CN"/>
        </w:rPr>
        <w:t>0.00005</w:t>
      </w:r>
      <w:r>
        <w:rPr>
          <w:rFonts w:hint="eastAsia" w:ascii="仿宋_GB2312" w:eastAsia="仿宋_GB2312"/>
          <w:sz w:val="28"/>
          <w:szCs w:val="28"/>
          <w:highlight w:val="none"/>
        </w:rPr>
        <w:t>万元，2024年度年初预算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万元。主要原因：项目经费不属于年初预算范围。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numPr>
          <w:ilvl w:val="0"/>
          <w:numId w:val="0"/>
        </w:numPr>
        <w:spacing w:line="560" w:lineRule="exact"/>
        <w:ind w:firstLine="560" w:firstLineChars="200"/>
        <w:rPr>
          <w:rFonts w:ascii="仿宋_GB2312" w:eastAsia="仿宋_GB2312"/>
          <w:sz w:val="28"/>
          <w:szCs w:val="28"/>
        </w:rPr>
      </w:pPr>
      <w:r>
        <w:rPr>
          <w:rFonts w:hint="eastAsia" w:ascii="仿宋_GB2312" w:eastAsia="仿宋_GB2312"/>
          <w:sz w:val="28"/>
          <w:szCs w:val="28"/>
          <w:lang w:val="en-US" w:eastAsia="zh-CN"/>
        </w:rPr>
        <w:t>本</w:t>
      </w:r>
      <w:r>
        <w:rPr>
          <w:rFonts w:hint="eastAsia" w:ascii="仿宋_GB2312" w:eastAsia="仿宋_GB2312"/>
          <w:sz w:val="28"/>
          <w:szCs w:val="28"/>
        </w:rPr>
        <w:t>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numPr>
          <w:ilvl w:val="0"/>
          <w:numId w:val="0"/>
        </w:numPr>
        <w:tabs>
          <w:tab w:val="center" w:pos="6979"/>
        </w:tabs>
        <w:spacing w:line="580" w:lineRule="exact"/>
        <w:ind w:leftChars="150" w:firstLine="560" w:firstLineChars="200"/>
        <w:rPr>
          <w:rFonts w:hint="eastAsia"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numPr>
          <w:ilvl w:val="0"/>
          <w:numId w:val="0"/>
        </w:numPr>
        <w:ind w:leftChars="150" w:firstLine="560" w:firstLineChars="200"/>
        <w:rPr>
          <w:rFonts w:hint="eastAsia" w:ascii="宋体" w:hAnsi="宋体"/>
          <w:b/>
          <w:spacing w:val="4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477.55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lang w:val="en-US" w:eastAsia="zh-CN"/>
        </w:rPr>
        <w:t>机关事业单位基本养老保险缴费、职业年金缴费、职工基本医疗保险缴费、公务员医疗补助缴费、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val="en-US" w:eastAsia="zh-CN"/>
        </w:rPr>
        <w:t>住房公积金</w:t>
      </w:r>
      <w:r>
        <w:rPr>
          <w:rFonts w:hint="eastAsia" w:ascii="仿宋_GB2312" w:eastAsia="仿宋_GB2312"/>
          <w:sz w:val="28"/>
          <w:szCs w:val="28"/>
        </w:rPr>
        <w:t>；（2）商品和服务支出包括</w:t>
      </w:r>
      <w:r>
        <w:rPr>
          <w:rFonts w:ascii="仿宋_GB2312" w:eastAsia="仿宋_GB2312"/>
          <w:sz w:val="28"/>
          <w:szCs w:val="28"/>
        </w:rPr>
        <w:t>办公费、水费、电费、邮电费、取暖费、培训费、专用材料费、公务用车运行维护费、其他商品和服务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pStyle w:val="2"/>
        <w:rPr>
          <w:rFonts w:hint="eastAsia"/>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1.04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3.6</w:t>
      </w:r>
      <w:r>
        <w:rPr>
          <w:rFonts w:hint="eastAsia" w:ascii="仿宋_GB2312" w:eastAsia="仿宋_GB2312"/>
          <w:sz w:val="28"/>
          <w:szCs w:val="28"/>
        </w:rPr>
        <w:t>万元减少</w:t>
      </w:r>
      <w:r>
        <w:rPr>
          <w:rFonts w:hint="eastAsia" w:ascii="仿宋_GB2312" w:eastAsia="仿宋_GB2312"/>
          <w:sz w:val="28"/>
          <w:szCs w:val="28"/>
          <w:lang w:val="en-US" w:eastAsia="zh-CN"/>
        </w:rPr>
        <w:t>2.56</w:t>
      </w:r>
      <w:r>
        <w:rPr>
          <w:rFonts w:hint="eastAsia" w:ascii="仿宋_GB2312" w:eastAsia="仿宋_GB2312"/>
          <w:sz w:val="28"/>
          <w:szCs w:val="28"/>
        </w:rPr>
        <w:t>万元。其中：</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w:t>
      </w:r>
      <w:r>
        <w:rPr>
          <w:rFonts w:hint="eastAsia" w:ascii="仿宋_GB2312" w:eastAsia="仿宋_GB2312"/>
          <w:sz w:val="28"/>
          <w:szCs w:val="28"/>
          <w:lang w:val="en-US" w:eastAsia="zh-CN"/>
        </w:rPr>
        <w:t>1.04</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3.6</w:t>
      </w:r>
      <w:r>
        <w:rPr>
          <w:rFonts w:hint="eastAsia" w:ascii="仿宋_GB2312" w:eastAsia="仿宋_GB2312"/>
          <w:sz w:val="28"/>
          <w:szCs w:val="28"/>
        </w:rPr>
        <w:t>万元减少</w:t>
      </w:r>
      <w:r>
        <w:rPr>
          <w:rFonts w:hint="eastAsia" w:ascii="仿宋_GB2312" w:eastAsia="仿宋_GB2312"/>
          <w:sz w:val="28"/>
          <w:szCs w:val="28"/>
          <w:lang w:val="en-US" w:eastAsia="zh-CN"/>
        </w:rPr>
        <w:t>2.56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1.04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3</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黑体" w:eastAsia="黑体"/>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211.58</w:t>
      </w:r>
      <w:r>
        <w:rPr>
          <w:rFonts w:hint="eastAsia" w:ascii="仿宋_GB2312" w:eastAsia="仿宋_GB2312"/>
          <w:sz w:val="28"/>
          <w:szCs w:val="28"/>
        </w:rPr>
        <w:t>万元，其中：政府采购货物支出</w:t>
      </w:r>
      <w:r>
        <w:rPr>
          <w:rFonts w:hint="eastAsia" w:ascii="仿宋_GB2312" w:eastAsia="仿宋_GB2312"/>
          <w:sz w:val="28"/>
          <w:szCs w:val="28"/>
          <w:highlight w:val="none"/>
          <w:lang w:val="en-US" w:eastAsia="zh-CN"/>
        </w:rPr>
        <w:t>204.85</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6.73</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12月31日，北京市大兴区林校路街道社区卫生服务中心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rPr>
      </w:pPr>
      <w:r>
        <w:rPr>
          <w:rFonts w:hint="eastAsia" w:ascii="仿宋_GB2312" w:eastAsia="仿宋_GB2312"/>
          <w:sz w:val="28"/>
          <w:szCs w:val="28"/>
          <w:lang w:val="en-US" w:eastAsia="zh-CN"/>
        </w:rPr>
        <w:t>7</w:t>
      </w:r>
      <w:r>
        <w:rPr>
          <w:rFonts w:hint="eastAsia" w:ascii="仿宋_GB2312" w:eastAsia="仿宋_GB2312"/>
          <w:sz w:val="28"/>
          <w:szCs w:val="28"/>
        </w:rPr>
        <w:t>.社会保障和就业支出(类)行政事业单位养老支出(款)机关事业单位</w:t>
      </w:r>
      <w:r>
        <w:rPr>
          <w:rFonts w:hint="eastAsia" w:ascii="仿宋_GB2312" w:eastAsia="仿宋_GB2312"/>
          <w:sz w:val="28"/>
          <w:szCs w:val="28"/>
          <w:lang w:val="en-US" w:eastAsia="zh-CN"/>
        </w:rPr>
        <w:t>养老保险</w:t>
      </w:r>
      <w:r>
        <w:rPr>
          <w:rFonts w:hint="eastAsia" w:ascii="仿宋_GB2312" w:eastAsia="仿宋_GB2312"/>
          <w:sz w:val="28"/>
          <w:szCs w:val="28"/>
        </w:rPr>
        <w:t>缴费支出(项):反映机关事业单位实施养老保险制度由单位实际缴纳的</w:t>
      </w:r>
      <w:r>
        <w:rPr>
          <w:rFonts w:hint="eastAsia" w:ascii="仿宋_GB2312" w:eastAsia="仿宋_GB2312"/>
          <w:sz w:val="28"/>
          <w:szCs w:val="28"/>
          <w:lang w:val="en-US" w:eastAsia="zh-CN"/>
        </w:rPr>
        <w:t>养老保险</w:t>
      </w:r>
      <w:r>
        <w:rPr>
          <w:rFonts w:hint="eastAsia" w:ascii="仿宋_GB2312" w:eastAsia="仿宋_GB2312"/>
          <w:sz w:val="28"/>
          <w:szCs w:val="28"/>
        </w:rPr>
        <w:t>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.卫生健康支出(类)基层医疗卫生机构(款)城市社区卫生机构(项):反映用于城市社区卫生机构的支出。</w:t>
      </w:r>
    </w:p>
    <w:p>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0</w:t>
      </w:r>
      <w:r>
        <w:rPr>
          <w:rFonts w:hint="eastAsia" w:ascii="仿宋_GB2312" w:eastAsia="仿宋_GB2312"/>
          <w:sz w:val="28"/>
          <w:szCs w:val="28"/>
        </w:rPr>
        <w:t>.卫生健康支出(类)基层医疗卫生机构(款)其他基层医疗卫生机构支出(项):反映除上述项目以外其他用于</w:t>
      </w:r>
    </w:p>
    <w:p>
      <w:pPr>
        <w:ind w:firstLine="420" w:firstLineChars="150"/>
        <w:rPr>
          <w:rFonts w:hint="eastAsia" w:ascii="仿宋_GB2312" w:eastAsia="仿宋_GB2312"/>
          <w:sz w:val="28"/>
          <w:szCs w:val="28"/>
        </w:rPr>
      </w:pPr>
      <w:r>
        <w:rPr>
          <w:rFonts w:hint="eastAsia" w:ascii="仿宋_GB2312" w:eastAsia="仿宋_GB2312"/>
          <w:sz w:val="28"/>
          <w:szCs w:val="28"/>
        </w:rPr>
        <w:t>卫生健康方面的支出。</w:t>
      </w:r>
    </w:p>
    <w:p>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.卫生健康支出(类)公共卫生(款)基本公共卫生服务(项):反映基本公共卫生服务支出。</w:t>
      </w:r>
    </w:p>
    <w:p>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.卫生健康支出(类)公共卫生(款)重大公共卫生服务(项):反映重大疾病、重大传染病预防控制等重大公共卫生服务项目支出。</w:t>
      </w:r>
    </w:p>
    <w:p>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lang w:eastAsia="zh-CN"/>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.卫生健康支出(类)行政事业单位医疗(款)公务员医疗补助(项):反映财政部门安排的公务员医疗补助经费</w:t>
      </w:r>
      <w:r>
        <w:rPr>
          <w:rFonts w:hint="eastAsia" w:ascii="仿宋_GB2312" w:eastAsia="仿宋_GB2312"/>
          <w:sz w:val="28"/>
          <w:szCs w:val="28"/>
          <w:lang w:eastAsia="zh-CN"/>
        </w:rPr>
        <w:t>。</w:t>
      </w:r>
    </w:p>
    <w:p>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5</w:t>
      </w:r>
      <w:r>
        <w:rPr>
          <w:rFonts w:hint="eastAsia" w:ascii="仿宋_GB2312" w:eastAsia="仿宋_GB2312"/>
          <w:sz w:val="28"/>
          <w:szCs w:val="28"/>
        </w:rPr>
        <w:t>.卫生健康支出(类)中医药事务(款)中医(民族医)药专项(项):反映中医(民族医)药方面的专项支出。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rPr>
        <w:t>1</w:t>
      </w:r>
      <w:r>
        <w:rPr>
          <w:rFonts w:hint="eastAsia" w:ascii="仿宋_GB2312" w:eastAsia="仿宋_GB2312"/>
          <w:sz w:val="28"/>
          <w:szCs w:val="28"/>
          <w:lang w:val="en-US" w:eastAsia="zh-CN"/>
        </w:rPr>
        <w:t>6</w:t>
      </w:r>
      <w:r>
        <w:rPr>
          <w:rFonts w:hint="eastAsia" w:ascii="仿宋_GB2312" w:eastAsia="仿宋_GB2312"/>
          <w:sz w:val="28"/>
          <w:szCs w:val="28"/>
        </w:rPr>
        <w:t>.卫生健康支出(类)其他卫生健康支出(款)其他卫生健康支出(项):反映除上述项目以外其他用于卫生健康</w:t>
      </w:r>
      <w:r>
        <w:rPr>
          <w:rFonts w:hint="eastAsia" w:ascii="仿宋_GB2312" w:eastAsia="仿宋_GB2312"/>
          <w:sz w:val="28"/>
          <w:szCs w:val="28"/>
          <w:lang w:val="en-US" w:eastAsia="zh-CN"/>
        </w:rPr>
        <w:t>方面的支出。</w:t>
      </w:r>
    </w:p>
    <w:p>
      <w:pPr>
        <w:pStyle w:val="2"/>
        <w:rPr>
          <w:rFonts w:hint="default" w:eastAsia="仿宋_GB2312"/>
          <w:lang w:val="en-US" w:eastAsia="zh-CN"/>
        </w:rPr>
      </w:pPr>
    </w:p>
    <w:p>
      <w:pPr>
        <w:pStyle w:val="2"/>
        <w:rPr>
          <w:rFonts w:hint="eastAsia"/>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pStyle w:val="2"/>
        <w:rPr>
          <w:rFonts w:hint="eastAsia"/>
        </w:rPr>
      </w:pPr>
    </w:p>
    <w:p>
      <w:pPr>
        <w:rPr>
          <w:rFonts w:hint="eastAsia"/>
        </w:rPr>
      </w:pPr>
    </w:p>
    <w:p>
      <w:pPr>
        <w:pStyle w:val="2"/>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1120" w:firstLineChars="4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rPr>
          <w:rFonts w:hint="eastAsia" w:ascii="仿宋_GB2312" w:hAnsi="仿宋_GB2312" w:eastAsia="仿宋_GB2312" w:cs="仿宋_GB2312"/>
          <w:sz w:val="32"/>
          <w:szCs w:val="32"/>
        </w:rPr>
      </w:pPr>
    </w:p>
    <w:p>
      <w:pPr>
        <w:spacing w:line="480" w:lineRule="exact"/>
        <w:ind w:firstLine="420" w:firstLineChars="0"/>
      </w:pPr>
    </w:p>
    <w:p>
      <w:pPr>
        <w:pStyle w:val="2"/>
      </w:pPr>
    </w:p>
    <w:p/>
    <w:p>
      <w:pPr>
        <w:pStyle w:val="2"/>
      </w:pPr>
    </w:p>
    <w:p/>
    <w:p/>
    <w:p/>
    <w:p>
      <w:pPr>
        <w:pStyle w:val="2"/>
      </w:pPr>
    </w:p>
    <w:p/>
    <w:p/>
    <w:tbl>
      <w:tblPr>
        <w:tblStyle w:val="10"/>
        <w:tblW w:w="148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4"/>
        <w:gridCol w:w="1079"/>
        <w:gridCol w:w="1574"/>
        <w:gridCol w:w="1079"/>
        <w:gridCol w:w="1080"/>
        <w:gridCol w:w="330"/>
        <w:gridCol w:w="1560"/>
        <w:gridCol w:w="2119"/>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89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89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96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返聘退休医务人员项目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29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北京市大兴区林校路街道社区卫生服务中心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91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4.685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4.685</w:t>
            </w:r>
          </w:p>
        </w:tc>
        <w:tc>
          <w:tcPr>
            <w:tcW w:w="29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4.685</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4.685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4.685</w:t>
            </w:r>
          </w:p>
        </w:tc>
        <w:tc>
          <w:tcPr>
            <w:tcW w:w="29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4.685</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Style w:val="20"/>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3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根据《大兴区分级诊疗制度建设》等相关办法，通过发放补助资金，有效提高退休返聘医务人员基本待遇，提高社区诊疗服务能力。</w:t>
            </w:r>
          </w:p>
        </w:tc>
        <w:tc>
          <w:tcPr>
            <w:tcW w:w="73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根据《大兴区分级诊疗制度建设》等相关办法，通过发放补助资金，有效提高退休返聘医务人员基本待遇，提高社区诊疗服务能力。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返聘退休医务人员补贴准确、足额发放人数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≥2人</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补助资金兑现流程合规率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补贴资金兑现及时率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≤46850元</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46850元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医疗保障能力</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聘用人员生活水平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建立健全补助机制</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保障公共服务及人民利益</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聘用人员满意度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9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spacing w:line="580" w:lineRule="exact"/>
        <w:ind w:firstLine="560" w:firstLineChars="200"/>
        <w:rPr>
          <w:rFonts w:hint="eastAsia" w:ascii="仿宋_GB2312" w:hAnsi="仿宋_GB2312" w:eastAsia="仿宋_GB2312" w:cs="仿宋_GB2312"/>
          <w:sz w:val="28"/>
          <w:szCs w:val="28"/>
          <w:highlight w:val="none"/>
        </w:rPr>
      </w:pPr>
    </w:p>
    <w:p>
      <w:pPr>
        <w:spacing w:line="580" w:lineRule="exact"/>
        <w:ind w:firstLine="560" w:firstLineChars="200"/>
        <w:rPr>
          <w:rFonts w:hint="eastAsia" w:ascii="仿宋_GB2312" w:hAnsi="仿宋_GB2312" w:eastAsia="仿宋_GB2312" w:cs="仿宋_GB2312"/>
          <w:sz w:val="28"/>
          <w:szCs w:val="28"/>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both"/>
        <w:rPr>
          <w:rFonts w:hint="eastAsia" w:ascii="黑体" w:eastAsia="黑体"/>
          <w:sz w:val="32"/>
          <w:szCs w:val="32"/>
          <w:highlight w:val="none"/>
        </w:rPr>
      </w:pPr>
    </w:p>
    <w:tbl>
      <w:tblPr>
        <w:tblStyle w:val="10"/>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2024年基本药物制度经费（林校）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北京市大兴区林校路街道社区卫生服务中心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7.6797</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7.6797</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7.6797</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7.6797</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7.6797</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7.6797</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Style w:val="21"/>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通过资金投入，保障辖区内社区顺利执行国家基本药物制度，降低患者就医成本。</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通过资金投入，保障辖区内社区顺利执行国家基本药物制度，降低患者就医成本。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执行基本药物种类</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≥249种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306种</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药品质量合格率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≤76797元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76797元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基本药物制度贯彻执行情况</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有序开展</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有序开展</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患者就医成本</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持续降低</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持续降低</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both"/>
        <w:rPr>
          <w:rFonts w:hint="eastAsia" w:ascii="黑体" w:eastAsia="黑体"/>
          <w:sz w:val="32"/>
          <w:szCs w:val="32"/>
          <w:highlight w:val="none"/>
        </w:rPr>
      </w:pPr>
    </w:p>
    <w:p>
      <w:pPr>
        <w:spacing w:line="480" w:lineRule="exact"/>
        <w:jc w:val="both"/>
        <w:rPr>
          <w:rFonts w:hint="eastAsia" w:ascii="黑体" w:eastAsia="黑体"/>
          <w:sz w:val="32"/>
          <w:szCs w:val="32"/>
          <w:highlight w:val="none"/>
        </w:rPr>
      </w:pPr>
    </w:p>
    <w:p>
      <w:pPr>
        <w:spacing w:line="560" w:lineRule="exact"/>
        <w:jc w:val="left"/>
        <w:rPr>
          <w:rFonts w:hint="eastAsia" w:ascii="方正黑体_GBK" w:hAnsi="方正黑体_GBK" w:eastAsia="方正黑体_GBK" w:cs="方正黑体_GBK"/>
          <w:sz w:val="32"/>
          <w:szCs w:val="32"/>
          <w:highlight w:val="none"/>
        </w:rPr>
      </w:pPr>
    </w:p>
    <w:p>
      <w:pPr>
        <w:rPr>
          <w:rFonts w:hint="eastAsia"/>
        </w:rPr>
      </w:pPr>
    </w:p>
    <w:tbl>
      <w:tblPr>
        <w:tblStyle w:val="10"/>
        <w:tblW w:w="146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4"/>
        <w:gridCol w:w="1079"/>
        <w:gridCol w:w="1574"/>
        <w:gridCol w:w="1079"/>
        <w:gridCol w:w="1080"/>
        <w:gridCol w:w="330"/>
        <w:gridCol w:w="1560"/>
        <w:gridCol w:w="1864"/>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64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64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70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临时辅助用工人员经费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26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北京市大兴区林校路街道社区卫生服务中心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65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5.915056</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5.915056</w:t>
            </w:r>
          </w:p>
        </w:tc>
        <w:tc>
          <w:tcPr>
            <w:tcW w:w="26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5.915056</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5.915056</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5.915056</w:t>
            </w:r>
          </w:p>
        </w:tc>
        <w:tc>
          <w:tcPr>
            <w:tcW w:w="26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5.915056</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8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根据大兴区卫生健康委系统临时辅助用工管理相关办法，通过补助临时辅助用工人员社会保险及公积金等，有效提高社区临时辅助用工人员工资待遇，减少人员流动，保障社区各项工作正常运转。</w:t>
            </w:r>
          </w:p>
        </w:tc>
        <w:tc>
          <w:tcPr>
            <w:tcW w:w="708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根据大兴区卫生健康委系统临时辅助用工管理相关办法，通过补助临时辅助用工人员社会保险及公积金等，有效提高社区临时辅助用工人员工资待遇，减少人员流动，保障社区各项工作正常运转。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补助资金兑现流程合规率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补助种类完成率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补助资金兑现及时率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≤801919.2元</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59150.56元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临时辅助人员生活水平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有效提高</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医疗保障情况</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保障公共服务能力</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建立健全补助机制</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临时辅助人员满意度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942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tbl>
      <w:tblPr>
        <w:tblStyle w:val="10"/>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2024年市级基本公共卫生服务资金（第二批）林校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北京市大兴区林校路街道社区卫生服务中心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9.2841</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9.2841</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9.2841</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9.2841</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9.2841</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9.2841</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通过资金投入，提高公共卫生服务能力，保障基本公共卫生项目顺利开展，提高居民健康水平。</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通过资金投入，提高公共卫生服务能力，保障基本公共卫生项目顺利开展，提高居民健康水平。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基本公共卫生覆盖类型</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≥12项</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12项</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结核病患者规范管理率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老年人及儿童中医药健康管理率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老年人中医药健康管理率70.57%；儿童中医药健康管理率82.73%；均达标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严重精神障碍患者规范管理率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99.39%</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高血压、糖尿病患者规范管理率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65岁及以上老年人健康管理率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70.30%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0-6岁儿童健康管理率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99.08%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适龄人群国家免疫规范疫苗接种率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居民健康档案规范化电子建档率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83.50%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12月底前完成相关工作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及时完成</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按时完成</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≤92841元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92841元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疾病防控能力</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居民健康意识和健康知识知晓率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基本公共卫生项目规范化管理水平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基本公共卫生均等化水平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辖区内服务对象满意度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pStyle w:val="2"/>
        <w:rPr>
          <w:rFonts w:hint="eastAsia"/>
        </w:rPr>
      </w:pPr>
    </w:p>
    <w:p>
      <w:pPr>
        <w:rPr>
          <w:rFonts w:hint="eastAsia"/>
        </w:rPr>
      </w:pPr>
    </w:p>
    <w:tbl>
      <w:tblPr>
        <w:tblStyle w:val="10"/>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市级基本公共卫生服务补助项目（林校）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北京市大兴区林校路街道社区卫生服务中心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113.9531</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113.9531</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113.9531</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113.9531</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113.9531</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113.9531</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通过资金投入，提高公共卫生服务能力，保障基本公共卫生项目顺利开展，提高居民健康水平。</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通过资金投入，提高公共卫生服务能力，保障基本公共卫生项目顺利开展，提高居民健康水平。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基本公共卫生覆盖类型</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≥12项</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12项</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居民健康档案规范化电子建档率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83.50%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适龄人群国家免疫规范疫苗接种率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0-6岁儿童健康管理率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99.08%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65岁及以上老年人健康管理率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70.30%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高血压、糖尿病患者规范管理率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严重精神障碍患者规范管理率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99.39%</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老年人及儿童中医药健康管理率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老年人中医药健康管理率70.57%；儿童中医药健康管理率82.73%；均达标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结核病患者规范管理率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12月底前完成相关工作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及时完成</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按时完成</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≤1139531元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1139531元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居民健康意识和健康知识知晓率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疾病防控能力</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基本公共卫生均等化水平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基本公共卫生项目规范化管理水平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辖区内服务对象满意度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tbl>
      <w:tblPr>
        <w:tblStyle w:val="10"/>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2024年中央基本公共卫生服务资金（第二批）林校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北京市大兴区林校路街道社区卫生服务中心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46.6761</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46.6761</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46.6761</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46.6761</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46.6761</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46.6761</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通过资金投入，提高公共卫生服务能力，保障基本公共卫生项目顺利开展，提高居民健康水平。</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通过资金投入，提高公共卫生服务能力，保障基本公共卫生项目顺利开展，提高居民健康水平。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适龄人群国家免疫规范疫苗接种</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严重精神障碍患者规范管理率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99.39%</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8"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老年人及儿童中医药健康管理率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老年人中医药健康管理率70.57%；儿童中医药健康管理率82.73%；均达标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65岁及以上老年人健康管理率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70.30%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12月底前完成相关工作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及时完成</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按时完成</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≤466761元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466761元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提高疾病预防防控能力</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高级</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高级</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基本公共卫生项目规范化管理</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2"/>
        <w:rPr>
          <w:rFonts w:hint="eastAsia"/>
        </w:rPr>
      </w:pPr>
    </w:p>
    <w:p>
      <w:pPr>
        <w:rPr>
          <w:rFonts w:hint="eastAsia"/>
        </w:rPr>
      </w:pPr>
    </w:p>
    <w:tbl>
      <w:tblPr>
        <w:tblStyle w:val="10"/>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中央转移支付基本公共卫生服务补助资金（林校）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北京市大兴区林校路街道社区卫生服务中心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15.023</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15.023</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15.023</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15.023</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15.023</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15.023</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通过资金投入，提高公共卫生服务能力，保障基本公共卫生项目顺利开展，提高居民健康水平。</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通过资金投入，提高公共卫生服务能力，保障基本公共卫生项目顺利开展，提高居民健康水平。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适龄人群国家免疫规范疫苗接种率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65岁及以上老年人健康管理率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70.30%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老年人及儿童中医药健康管理率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老年人中医药健康管理率70.57%；儿童中医药健康管理率82.73%；均达标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严重精神障碍患者规范管理率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99.39%</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12月底前完成相关工作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及时完成</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按时完成</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≤150230元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150230元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提高疾病预防防控能力</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基本公共卫生项目规范化管理水平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p>
      <w:pPr>
        <w:pStyle w:val="2"/>
        <w:rPr>
          <w:rFonts w:hint="eastAsia"/>
        </w:rPr>
      </w:pPr>
    </w:p>
    <w:p>
      <w:pPr>
        <w:rPr>
          <w:rFonts w:hint="eastAsia"/>
        </w:rPr>
      </w:pPr>
    </w:p>
    <w:tbl>
      <w:tblPr>
        <w:tblStyle w:val="10"/>
        <w:tblW w:w="143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080"/>
        <w:gridCol w:w="330"/>
        <w:gridCol w:w="1560"/>
        <w:gridCol w:w="157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35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35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2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中央转移支付基本公共卫生服务部分补助（林校）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北京市大兴区卫生健康委员会</w:t>
            </w: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北京市大兴区林校路街道社区卫生服务中心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3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10.0606</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10.0606</w:t>
            </w: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10.0606</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10.0606</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10.0606</w:t>
            </w: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10.0606</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79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通过资金投入，提高公共卫生服务能力，保障基本公共卫生项目顺利开展，提高居民健康水平。</w:t>
            </w:r>
          </w:p>
        </w:tc>
        <w:tc>
          <w:tcPr>
            <w:tcW w:w="679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通过资金投入，提高公共卫生服务能力，保障基本公共卫生项目顺利开展，提高居民健康水平。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适龄人群国家免疫规范疫苗接种率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适龄人群国家免疫规范疫苗接种率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65岁及以上老年人健康管理率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70.30%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老年人及儿童中医药健康管理率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老年人中医药健康管理率70.57%；儿童中医药健康管理率82.73%；均达标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12月底前完成相关工作</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及时完成</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按时完成</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≤100606元</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100606元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提高疾病预防防控能力</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基本公共卫生项目规范化管理水平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913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p>
      <w:pPr>
        <w:rPr>
          <w:rFonts w:hint="eastAsia"/>
        </w:rPr>
      </w:pPr>
    </w:p>
    <w:p>
      <w:pPr>
        <w:rPr>
          <w:rFonts w:hint="eastAsia"/>
        </w:rPr>
      </w:pPr>
    </w:p>
    <w:p>
      <w:pPr>
        <w:pStyle w:val="2"/>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黑体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4B6CD3"/>
    <w:rsid w:val="02F120AB"/>
    <w:rsid w:val="032B5196"/>
    <w:rsid w:val="03C75215"/>
    <w:rsid w:val="04C3537C"/>
    <w:rsid w:val="07146C2B"/>
    <w:rsid w:val="07415680"/>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973C65"/>
    <w:rsid w:val="1FF7AB17"/>
    <w:rsid w:val="214243FA"/>
    <w:rsid w:val="21AD613C"/>
    <w:rsid w:val="22467189"/>
    <w:rsid w:val="257A14F5"/>
    <w:rsid w:val="27196C26"/>
    <w:rsid w:val="28BD5FE3"/>
    <w:rsid w:val="29EF086F"/>
    <w:rsid w:val="2ABF44AF"/>
    <w:rsid w:val="2BC34C59"/>
    <w:rsid w:val="2C917C2E"/>
    <w:rsid w:val="2E6F2886"/>
    <w:rsid w:val="2EFFE297"/>
    <w:rsid w:val="301437CA"/>
    <w:rsid w:val="303E59F8"/>
    <w:rsid w:val="311F3225"/>
    <w:rsid w:val="349D1F0A"/>
    <w:rsid w:val="34DD0473"/>
    <w:rsid w:val="375D5A65"/>
    <w:rsid w:val="3A8E35DC"/>
    <w:rsid w:val="3C684897"/>
    <w:rsid w:val="433E495C"/>
    <w:rsid w:val="489F2FD7"/>
    <w:rsid w:val="494707C7"/>
    <w:rsid w:val="4AC27CB3"/>
    <w:rsid w:val="4B433741"/>
    <w:rsid w:val="4BF72BEF"/>
    <w:rsid w:val="4FA90297"/>
    <w:rsid w:val="4FC41A43"/>
    <w:rsid w:val="51DB3C59"/>
    <w:rsid w:val="53F41460"/>
    <w:rsid w:val="550C0952"/>
    <w:rsid w:val="55762E42"/>
    <w:rsid w:val="57A7B272"/>
    <w:rsid w:val="58470068"/>
    <w:rsid w:val="58747CAC"/>
    <w:rsid w:val="58FE5F8F"/>
    <w:rsid w:val="5A1720F9"/>
    <w:rsid w:val="5B9C37C2"/>
    <w:rsid w:val="5BA7C654"/>
    <w:rsid w:val="5DC60467"/>
    <w:rsid w:val="5DF716AE"/>
    <w:rsid w:val="5E934337"/>
    <w:rsid w:val="5F9F507E"/>
    <w:rsid w:val="60025813"/>
    <w:rsid w:val="60A54109"/>
    <w:rsid w:val="61D01CDF"/>
    <w:rsid w:val="64C0607C"/>
    <w:rsid w:val="65756C86"/>
    <w:rsid w:val="674D385B"/>
    <w:rsid w:val="676F09E1"/>
    <w:rsid w:val="71691990"/>
    <w:rsid w:val="71793A80"/>
    <w:rsid w:val="718C6759"/>
    <w:rsid w:val="7357290B"/>
    <w:rsid w:val="73CC76D3"/>
    <w:rsid w:val="756E3DEA"/>
    <w:rsid w:val="76FB1693"/>
    <w:rsid w:val="798524E4"/>
    <w:rsid w:val="7A7F1C49"/>
    <w:rsid w:val="7B484ED1"/>
    <w:rsid w:val="7B5B7AE6"/>
    <w:rsid w:val="7B7B6628"/>
    <w:rsid w:val="7BA7071E"/>
    <w:rsid w:val="7BDF6DA8"/>
    <w:rsid w:val="7C7EDC1A"/>
    <w:rsid w:val="7CCED98D"/>
    <w:rsid w:val="7D08410F"/>
    <w:rsid w:val="7DB96DED"/>
    <w:rsid w:val="7DD3AD81"/>
    <w:rsid w:val="7DFFF77E"/>
    <w:rsid w:val="7F53A862"/>
    <w:rsid w:val="7F7FE70F"/>
    <w:rsid w:val="7FB72171"/>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41"/>
    <w:basedOn w:val="11"/>
    <w:qFormat/>
    <w:uiPriority w:val="0"/>
    <w:rPr>
      <w:rFonts w:hint="eastAsia" w:ascii="宋体" w:hAnsi="宋体" w:eastAsia="宋体" w:cs="宋体"/>
      <w:color w:val="000000"/>
      <w:sz w:val="13"/>
      <w:szCs w:val="13"/>
      <w:u w:val="none"/>
    </w:rPr>
  </w:style>
  <w:style w:type="character" w:customStyle="1" w:styleId="21">
    <w:name w:val="font5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1088.44</c:v>
                </c:pt>
                <c:pt idx="1">
                  <c:v>0</c:v>
                </c:pt>
                <c:pt idx="2">
                  <c:v>1679.82</c:v>
                </c:pt>
                <c:pt idx="3">
                  <c:v>0</c:v>
                </c:pt>
                <c:pt idx="4">
                  <c:v>0</c:v>
                </c:pt>
                <c:pt idx="5">
                  <c:v>0.42</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681.55</c:v>
                </c:pt>
                <c:pt idx="1">
                  <c:v>611.02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784</Words>
  <Characters>891</Characters>
  <Lines>44</Lines>
  <Paragraphs>12</Paragraphs>
  <TotalTime>1</TotalTime>
  <ScaleCrop>false</ScaleCrop>
  <LinksUpToDate>false</LinksUpToDate>
  <CharactersWithSpaces>907</CharactersWithSpaces>
  <Application>WPS Office_11.8.2.11707_F1E327BC-269C-435d-A152-05C5408002CA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2025-09-26T08:48:00Z</cp:lastPrinted>
  <dcterms:modified xsi:type="dcterms:W3CDTF">2025-10-11T03:03:30Z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2052-11.8.2.11707</vt:lpwstr>
  </property>
  <property fmtid="{D5CDD505-2E9C-101B-9397-08002B2CF9AE}" pid="3" name="ICV">
    <vt:lpwstr>2E88E637309A4DFDA51605E6D8C16E0B</vt:lpwstr>
  </property>
  <property fmtid="{D5CDD505-2E9C-101B-9397-08002B2CF9AE}" pid="4" name="KSOTemplateDocerSaveRecord">
    <vt:lpwstr>eyJoZGlkIjoiYWM0YTUxN2UyNDA1ZTUyNmVmZDQ0NzQ0NWI1NjQxMDYiLCJ1c2VySWQiOiIzNzc4ODUzNjUifQ==</vt:lpwstr>
  </property>
</Properties>
</file>