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仿宋_GB2312" w:eastAsia="仿宋_GB2312"/>
          <w:sz w:val="28"/>
          <w:szCs w:val="28"/>
        </w:rPr>
      </w:pPr>
      <w:r>
        <w:rPr>
          <w:rFonts w:hint="eastAsia" w:ascii="黑体" w:eastAsia="黑体"/>
          <w:b/>
          <w:sz w:val="28"/>
          <w:szCs w:val="28"/>
        </w:rPr>
        <w:t>一、单位基本情况</w:t>
      </w:r>
    </w:p>
    <w:p>
      <w:pPr>
        <w:spacing w:line="620" w:lineRule="exact"/>
        <w:ind w:firstLine="960" w:firstLineChars="300"/>
        <w:rPr>
          <w:rFonts w:ascii="仿宋" w:hAnsi="仿宋" w:eastAsia="仿宋" w:cs="仿宋"/>
          <w:kern w:val="1"/>
          <w:sz w:val="32"/>
          <w:szCs w:val="32"/>
        </w:rPr>
      </w:pPr>
      <w:r>
        <w:rPr>
          <w:rFonts w:hint="eastAsia" w:ascii="仿宋" w:hAnsi="仿宋" w:eastAsia="仿宋" w:cs="仿宋"/>
          <w:kern w:val="1"/>
          <w:sz w:val="32"/>
          <w:szCs w:val="32"/>
          <w:lang w:bidi="ar"/>
        </w:rPr>
        <w:t>单位职责：</w:t>
      </w:r>
      <w:r>
        <w:rPr>
          <w:rFonts w:hint="eastAsia" w:ascii="仿宋_GB2312" w:hAnsi="仿宋_GB2312" w:eastAsia="仿宋" w:cs="仿宋"/>
          <w:sz w:val="28"/>
          <w:szCs w:val="28"/>
          <w:lang w:bidi="ar"/>
        </w:rPr>
        <w:t>我校的主要职责：是抓基础教育、培养学生习惯、组织教育教学、科学研究活动</w:t>
      </w:r>
      <w:r>
        <w:rPr>
          <w:rFonts w:hint="eastAsia" w:ascii="仿宋_GB2312" w:hAnsi="仿宋_GB2312" w:eastAsia="仿宋" w:cs="仿宋_GB2312"/>
          <w:sz w:val="28"/>
          <w:szCs w:val="28"/>
          <w:lang w:bidi="ar"/>
        </w:rPr>
        <w:t>,</w:t>
      </w:r>
      <w:r>
        <w:rPr>
          <w:rFonts w:hint="eastAsia" w:ascii="仿宋_GB2312" w:hAnsi="仿宋_GB2312" w:eastAsia="仿宋" w:cs="仿宋"/>
          <w:sz w:val="28"/>
          <w:szCs w:val="28"/>
          <w:lang w:bidi="ar"/>
        </w:rPr>
        <w:t>保证教育教学质量。维护教职工利益</w:t>
      </w:r>
      <w:r>
        <w:rPr>
          <w:rFonts w:hint="eastAsia" w:ascii="仿宋_GB2312" w:hAnsi="仿宋_GB2312" w:eastAsia="仿宋" w:cs="仿宋_GB2312"/>
          <w:sz w:val="28"/>
          <w:szCs w:val="28"/>
          <w:lang w:bidi="ar"/>
        </w:rPr>
        <w:t>,</w:t>
      </w:r>
      <w:r>
        <w:rPr>
          <w:rFonts w:hint="eastAsia" w:ascii="仿宋_GB2312" w:hAnsi="仿宋_GB2312" w:eastAsia="仿宋" w:cs="仿宋"/>
          <w:sz w:val="28"/>
          <w:szCs w:val="28"/>
          <w:lang w:bidi="ar"/>
        </w:rPr>
        <w:t>保障教职工合法权益</w:t>
      </w:r>
      <w:r>
        <w:rPr>
          <w:rFonts w:hint="eastAsia" w:ascii="仿宋_GB2312" w:hAnsi="仿宋_GB2312" w:eastAsia="仿宋" w:cs="仿宋_GB2312"/>
          <w:sz w:val="28"/>
          <w:szCs w:val="28"/>
          <w:lang w:bidi="ar"/>
        </w:rPr>
        <w:t>,</w:t>
      </w:r>
      <w:r>
        <w:rPr>
          <w:rFonts w:hint="eastAsia" w:ascii="仿宋_GB2312" w:hAnsi="仿宋_GB2312" w:eastAsia="仿宋" w:cs="仿宋"/>
          <w:sz w:val="28"/>
          <w:szCs w:val="28"/>
          <w:lang w:bidi="ar"/>
        </w:rPr>
        <w:t>以教职工和学生的人生幸福和生命质量作为重点。</w:t>
      </w:r>
    </w:p>
    <w:p>
      <w:pPr>
        <w:pStyle w:val="9"/>
        <w:widowControl/>
        <w:shd w:val="clear" w:color="auto" w:fill="FFFFFF"/>
        <w:spacing w:before="0" w:beforeAutospacing="0" w:after="0" w:afterAutospacing="0" w:line="315" w:lineRule="atLeast"/>
        <w:ind w:firstLine="960" w:firstLineChars="300"/>
        <w:rPr>
          <w:rFonts w:ascii="仿宋" w:hAnsi="仿宋" w:eastAsia="仿宋" w:cs="仿宋"/>
          <w:b w:val="0"/>
          <w:kern w:val="1"/>
          <w:sz w:val="32"/>
          <w:szCs w:val="32"/>
          <w:shd w:val="clear" w:color="auto" w:fill="FFFFFF"/>
        </w:rPr>
      </w:pPr>
      <w:r>
        <w:rPr>
          <w:rFonts w:hint="eastAsia" w:ascii="仿宋" w:hAnsi="仿宋" w:eastAsia="仿宋" w:cs="仿宋"/>
          <w:b w:val="0"/>
          <w:kern w:val="1"/>
          <w:sz w:val="32"/>
          <w:szCs w:val="32"/>
          <w:shd w:val="clear" w:color="auto" w:fill="FFFFFF"/>
        </w:rPr>
        <w:t>机构设置情</w:t>
      </w:r>
      <w:r>
        <w:rPr>
          <w:rFonts w:hint="eastAsia" w:ascii="仿宋_GB2312" w:hAnsi="仿宋_GB2312" w:eastAsia="仿宋" w:cs="仿宋"/>
          <w:b w:val="0"/>
          <w:kern w:val="2"/>
          <w:sz w:val="28"/>
          <w:szCs w:val="28"/>
          <w:lang w:val="en-US" w:eastAsia="zh-CN" w:bidi="ar"/>
        </w:rPr>
        <w:t>况：2025年机构情况:北京教育科学研究院大兴实验小学共设6个部门，即教导处、德育处、办公室、总务处、少先队、党务办公室。</w:t>
      </w:r>
      <w:bookmarkStart w:id="0" w:name="_GoBack"/>
      <w:bookmarkEnd w:id="0"/>
    </w:p>
    <w:p>
      <w:pPr>
        <w:numPr>
          <w:ilvl w:val="0"/>
          <w:numId w:val="1"/>
        </w:numPr>
        <w:tabs>
          <w:tab w:val="center" w:pos="6979"/>
        </w:tabs>
        <w:spacing w:line="580" w:lineRule="exact"/>
        <w:rPr>
          <w:rFonts w:ascii="黑体" w:eastAsia="黑体"/>
          <w:b/>
          <w:sz w:val="28"/>
          <w:szCs w:val="28"/>
        </w:rPr>
      </w:pPr>
      <w:r>
        <w:rPr>
          <w:rFonts w:hint="eastAsia" w:ascii="黑体" w:eastAsia="黑体"/>
          <w:b/>
          <w:sz w:val="28"/>
          <w:szCs w:val="28"/>
        </w:rPr>
        <w:t>收入支出决算总体情况说明</w:t>
      </w:r>
    </w:p>
    <w:p>
      <w:pPr>
        <w:tabs>
          <w:tab w:val="center" w:pos="6979"/>
        </w:tabs>
        <w:spacing w:line="580" w:lineRule="exact"/>
        <w:ind w:firstLine="700" w:firstLineChars="250"/>
      </w:pPr>
      <w:r>
        <w:rPr>
          <w:rFonts w:hint="eastAsia" w:ascii="仿宋_GB2312" w:eastAsia="仿宋_GB2312" w:cs="仿宋_GB2312"/>
          <w:sz w:val="28"/>
          <w:szCs w:val="28"/>
          <w:lang w:bidi="ar"/>
        </w:rPr>
        <w:t>2024年度收入、支出总计2600.81万元，比上年增加</w:t>
      </w:r>
      <w:r>
        <w:rPr>
          <w:rFonts w:hint="eastAsia" w:ascii="仿宋" w:hAnsi="仿宋" w:eastAsia="仿宋" w:cs="仿宋"/>
          <w:kern w:val="1"/>
          <w:sz w:val="32"/>
          <w:szCs w:val="32"/>
          <w:lang w:bidi="ar"/>
        </w:rPr>
        <w:t>267</w:t>
      </w:r>
      <w:r>
        <w:rPr>
          <w:rFonts w:hint="eastAsia" w:ascii="仿宋_GB2312" w:eastAsia="仿宋_GB2312" w:cs="仿宋_GB2312"/>
          <w:sz w:val="28"/>
          <w:szCs w:val="28"/>
          <w:lang w:bidi="ar"/>
        </w:rPr>
        <w:t>.36万元，增长11.46%。</w:t>
      </w:r>
    </w:p>
    <w:p>
      <w:pPr>
        <w:numPr>
          <w:ilvl w:val="0"/>
          <w:numId w:val="2"/>
        </w:num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cs="仿宋_GB2312"/>
          <w:sz w:val="28"/>
          <w:szCs w:val="28"/>
        </w:rPr>
      </w:pPr>
      <w:r>
        <w:rPr>
          <w:rFonts w:hint="eastAsia" w:ascii="仿宋_GB2312" w:eastAsia="仿宋_GB2312" w:cs="仿宋_GB2312"/>
          <w:sz w:val="28"/>
          <w:szCs w:val="28"/>
          <w:lang w:bidi="ar"/>
        </w:rPr>
        <w:t>2024年度本年收入合计2416.25万元，比上年增加82.8万元，增长3.55%。</w:t>
      </w:r>
    </w:p>
    <w:p>
      <w:pPr>
        <w:tabs>
          <w:tab w:val="center" w:pos="6979"/>
        </w:tabs>
        <w:spacing w:line="580" w:lineRule="exact"/>
        <w:ind w:firstLine="570"/>
        <w:rPr>
          <w:rFonts w:ascii="仿宋_GB2312" w:eastAsia="仿宋_GB2312" w:cs="仿宋_GB2312"/>
          <w:sz w:val="28"/>
          <w:szCs w:val="28"/>
        </w:rPr>
      </w:pPr>
      <w:r>
        <w:rPr>
          <w:rFonts w:hint="eastAsia" w:ascii="仿宋_GB2312" w:eastAsia="仿宋_GB2312" w:cs="仿宋_GB2312"/>
          <w:sz w:val="28"/>
          <w:szCs w:val="28"/>
          <w:lang w:bidi="ar"/>
        </w:rPr>
        <w:t>1.财政拨款收入2416.25万元，占收入合计的100.00%。其中：一般公共预算财政拨款收入2416.25万元，占收入合计的100.00%；政府性基金预算财政拨款收入0.00万元，占收入合计的0%；国有资本经营预算财政拨款收入0.00万元，占收入合计的0.00%。</w:t>
      </w:r>
    </w:p>
    <w:p>
      <w:pPr>
        <w:tabs>
          <w:tab w:val="center" w:pos="6979"/>
        </w:tabs>
        <w:spacing w:line="580" w:lineRule="exact"/>
        <w:ind w:firstLine="570"/>
        <w:rPr>
          <w:rFonts w:ascii="仿宋_GB2312" w:eastAsia="仿宋_GB2312" w:cs="仿宋_GB2312"/>
          <w:sz w:val="28"/>
          <w:szCs w:val="28"/>
        </w:rPr>
      </w:pPr>
      <w:r>
        <w:rPr>
          <w:rFonts w:hint="eastAsia" w:ascii="仿宋_GB2312" w:eastAsia="仿宋_GB2312" w:cs="仿宋_GB2312"/>
          <w:sz w:val="28"/>
          <w:szCs w:val="28"/>
          <w:lang w:bidi="ar"/>
        </w:rPr>
        <w:t>2.上级补助收入0.00万元，占收入合计的0.00%。</w:t>
      </w:r>
    </w:p>
    <w:p>
      <w:pPr>
        <w:tabs>
          <w:tab w:val="center" w:pos="6979"/>
        </w:tabs>
        <w:spacing w:line="580" w:lineRule="exact"/>
        <w:ind w:firstLine="570"/>
        <w:rPr>
          <w:rFonts w:ascii="仿宋_GB2312" w:eastAsia="仿宋_GB2312" w:cs="仿宋_GB2312"/>
          <w:sz w:val="28"/>
          <w:szCs w:val="28"/>
        </w:rPr>
      </w:pPr>
      <w:r>
        <w:rPr>
          <w:rFonts w:hint="eastAsia" w:ascii="仿宋_GB2312" w:eastAsia="仿宋_GB2312" w:cs="仿宋_GB2312"/>
          <w:sz w:val="28"/>
          <w:szCs w:val="28"/>
          <w:lang w:bidi="ar"/>
        </w:rPr>
        <w:t>3.事业收入0.00万元，占收入合计的0.00%。</w:t>
      </w:r>
    </w:p>
    <w:p>
      <w:pPr>
        <w:tabs>
          <w:tab w:val="center" w:pos="6979"/>
        </w:tabs>
        <w:spacing w:line="580" w:lineRule="exact"/>
        <w:ind w:firstLine="570"/>
        <w:rPr>
          <w:rFonts w:ascii="仿宋_GB2312" w:eastAsia="仿宋_GB2312" w:cs="仿宋_GB2312"/>
          <w:sz w:val="28"/>
          <w:szCs w:val="28"/>
        </w:rPr>
      </w:pPr>
      <w:r>
        <w:rPr>
          <w:rFonts w:hint="eastAsia" w:ascii="仿宋_GB2312" w:eastAsia="仿宋_GB2312" w:cs="仿宋_GB2312"/>
          <w:sz w:val="28"/>
          <w:szCs w:val="28"/>
          <w:lang w:bidi="ar"/>
        </w:rPr>
        <w:t>4.经营收入0.00万元，占收入合计的0.00%。</w:t>
      </w:r>
    </w:p>
    <w:p>
      <w:pPr>
        <w:tabs>
          <w:tab w:val="center" w:pos="6979"/>
        </w:tabs>
        <w:spacing w:line="580" w:lineRule="exact"/>
        <w:ind w:firstLine="570"/>
        <w:rPr>
          <w:rFonts w:ascii="仿宋_GB2312" w:eastAsia="仿宋_GB2312" w:cs="仿宋_GB2312"/>
          <w:sz w:val="28"/>
          <w:szCs w:val="28"/>
        </w:rPr>
      </w:pPr>
      <w:r>
        <w:rPr>
          <w:rFonts w:hint="eastAsia" w:ascii="仿宋_GB2312" w:eastAsia="仿宋_GB2312" w:cs="仿宋_GB2312"/>
          <w:sz w:val="28"/>
          <w:szCs w:val="28"/>
          <w:lang w:bidi="ar"/>
        </w:rPr>
        <w:t>5.附属单位上缴收入0.00万元，占收入合计的0.00%。</w:t>
      </w:r>
    </w:p>
    <w:p>
      <w:pPr>
        <w:tabs>
          <w:tab w:val="center" w:pos="6979"/>
        </w:tabs>
        <w:spacing w:line="580" w:lineRule="exact"/>
        <w:ind w:firstLine="570"/>
        <w:rPr>
          <w:rFonts w:ascii="仿宋_GB2312" w:eastAsia="仿宋_GB2312" w:cs="仿宋_GB2312"/>
          <w:sz w:val="28"/>
          <w:szCs w:val="28"/>
        </w:rPr>
      </w:pPr>
      <w:r>
        <w:rPr>
          <w:rFonts w:hint="eastAsia" w:ascii="仿宋_GB2312" w:eastAsia="仿宋_GB2312" w:cs="仿宋_GB2312"/>
          <w:sz w:val="28"/>
          <w:szCs w:val="28"/>
          <w:lang w:bidi="ar"/>
        </w:rPr>
        <w:t>6.其他收入0.00万元，占收入合计的0.00%。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2"/>
        </w:num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cs="仿宋_GB2312"/>
          <w:sz w:val="28"/>
          <w:szCs w:val="28"/>
          <w:lang w:bidi="ar"/>
        </w:rPr>
      </w:pPr>
      <w:r>
        <w:rPr>
          <w:rFonts w:hint="eastAsia" w:ascii="仿宋_GB2312" w:eastAsia="仿宋_GB2312" w:cs="仿宋_GB2312"/>
          <w:sz w:val="28"/>
          <w:szCs w:val="28"/>
          <w:lang w:bidi="ar"/>
        </w:rPr>
        <w:t>2024年度本年支出合计2600.81万元，比上年增加267.36万元，增长11.46%。</w:t>
      </w:r>
    </w:p>
    <w:p>
      <w:pPr>
        <w:tabs>
          <w:tab w:val="center" w:pos="6979"/>
        </w:tabs>
        <w:spacing w:line="580" w:lineRule="exact"/>
        <w:ind w:firstLine="570"/>
        <w:rPr>
          <w:rFonts w:ascii="仿宋_GB2312" w:eastAsia="仿宋_GB2312" w:cs="仿宋_GB2312"/>
          <w:sz w:val="28"/>
          <w:szCs w:val="28"/>
        </w:rPr>
      </w:pPr>
      <w:r>
        <w:rPr>
          <w:rFonts w:hint="eastAsia" w:ascii="仿宋_GB2312" w:eastAsia="仿宋_GB2312" w:cs="仿宋_GB2312"/>
          <w:sz w:val="28"/>
          <w:szCs w:val="28"/>
          <w:lang w:bidi="ar"/>
        </w:rPr>
        <w:t>1.基本支出2324.00万元，占支出合计的89.36%。</w:t>
      </w:r>
    </w:p>
    <w:p>
      <w:pPr>
        <w:tabs>
          <w:tab w:val="center" w:pos="6979"/>
        </w:tabs>
        <w:spacing w:line="580" w:lineRule="exact"/>
        <w:ind w:firstLine="570"/>
        <w:rPr>
          <w:rFonts w:ascii="仿宋_GB2312" w:eastAsia="仿宋_GB2312" w:cs="仿宋_GB2312"/>
          <w:sz w:val="28"/>
          <w:szCs w:val="28"/>
        </w:rPr>
      </w:pPr>
      <w:r>
        <w:rPr>
          <w:rFonts w:hint="eastAsia" w:ascii="仿宋_GB2312" w:eastAsia="仿宋_GB2312" w:cs="仿宋_GB2312"/>
          <w:sz w:val="28"/>
          <w:szCs w:val="28"/>
          <w:lang w:bidi="ar"/>
        </w:rPr>
        <w:t>2.项目支出276.81万元，占支出合计的10.64%。</w:t>
      </w:r>
    </w:p>
    <w:p>
      <w:pPr>
        <w:tabs>
          <w:tab w:val="center" w:pos="6979"/>
        </w:tabs>
        <w:spacing w:line="580" w:lineRule="exact"/>
        <w:ind w:firstLine="570"/>
        <w:rPr>
          <w:rFonts w:ascii="仿宋_GB2312" w:eastAsia="仿宋_GB2312" w:cs="仿宋_GB2312"/>
          <w:sz w:val="28"/>
          <w:szCs w:val="28"/>
        </w:rPr>
      </w:pPr>
      <w:r>
        <w:rPr>
          <w:rFonts w:hint="eastAsia" w:ascii="仿宋_GB2312" w:eastAsia="仿宋_GB2312" w:cs="仿宋_GB2312"/>
          <w:sz w:val="28"/>
          <w:szCs w:val="28"/>
          <w:lang w:bidi="ar"/>
        </w:rPr>
        <w:t>3.上缴上级支出0.00万元，占支出合计的0.00%。</w:t>
      </w:r>
    </w:p>
    <w:p>
      <w:pPr>
        <w:tabs>
          <w:tab w:val="center" w:pos="6979"/>
        </w:tabs>
        <w:spacing w:line="580" w:lineRule="exact"/>
        <w:ind w:firstLine="570"/>
        <w:rPr>
          <w:rFonts w:ascii="仿宋_GB2312" w:eastAsia="仿宋_GB2312" w:cs="仿宋_GB2312"/>
          <w:sz w:val="28"/>
          <w:szCs w:val="28"/>
        </w:rPr>
      </w:pPr>
      <w:r>
        <w:rPr>
          <w:rFonts w:hint="eastAsia" w:ascii="仿宋_GB2312" w:eastAsia="仿宋_GB2312" w:cs="仿宋_GB2312"/>
          <w:sz w:val="28"/>
          <w:szCs w:val="28"/>
          <w:lang w:bidi="ar"/>
        </w:rPr>
        <w:t>4.经营支出0.00万元，占支出合计的0.00%。</w:t>
      </w:r>
    </w:p>
    <w:p>
      <w:pPr>
        <w:tabs>
          <w:tab w:val="center" w:pos="6979"/>
        </w:tabs>
        <w:spacing w:line="580" w:lineRule="exact"/>
        <w:ind w:firstLine="570"/>
        <w:rPr>
          <w:rFonts w:ascii="仿宋_GB2312" w:eastAsia="仿宋_GB2312" w:cs="仿宋_GB2312"/>
          <w:sz w:val="28"/>
          <w:szCs w:val="28"/>
        </w:rPr>
      </w:pPr>
      <w:r>
        <w:rPr>
          <w:rFonts w:hint="eastAsia" w:ascii="仿宋_GB2312" w:eastAsia="仿宋_GB2312" w:cs="仿宋_GB2312"/>
          <w:sz w:val="28"/>
          <w:szCs w:val="28"/>
          <w:lang w:bidi="ar"/>
        </w:rPr>
        <w:t>5.对附属单位补助支出0.00万元，占支出合计的0.00%。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1"/>
        </w:numPr>
        <w:tabs>
          <w:tab w:val="center" w:pos="6979"/>
        </w:tabs>
        <w:spacing w:line="580" w:lineRule="exact"/>
        <w:rPr>
          <w:rFonts w:ascii="黑体" w:eastAsia="黑体"/>
          <w:b/>
          <w:sz w:val="28"/>
          <w:szCs w:val="28"/>
        </w:rPr>
      </w:pP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pStyle w:val="2"/>
        <w:ind w:firstLine="560" w:firstLineChars="200"/>
        <w:rPr>
          <w:rFonts w:hint="eastAsia" w:ascii="仿宋_GB2312" w:hAnsi="Times New Roman" w:eastAsia="仿宋_GB2312" w:cs="仿宋_GB2312"/>
          <w:b w:val="0"/>
          <w:bCs w:val="0"/>
          <w:kern w:val="2"/>
          <w:sz w:val="28"/>
          <w:szCs w:val="28"/>
          <w:lang w:bidi="ar"/>
        </w:rPr>
      </w:pPr>
      <w:r>
        <w:rPr>
          <w:rFonts w:hint="eastAsia" w:ascii="仿宋_GB2312" w:hAnsi="Times New Roman" w:eastAsia="仿宋_GB2312" w:cs="仿宋_GB2312"/>
          <w:b w:val="0"/>
          <w:bCs w:val="0"/>
          <w:kern w:val="2"/>
          <w:sz w:val="28"/>
          <w:szCs w:val="28"/>
          <w:lang w:bidi="ar"/>
        </w:rPr>
        <w:t>2024年度财政拨款收入总计2416.25万元，比上年增加82.8万元，增长3.55%。主要原因：由于24年社保基数的调整，9月人员的变动，人员经费比去年增加了，社会实践项目也比去年增加，所以今年经费收入增加了。</w:t>
      </w:r>
    </w:p>
    <w:p>
      <w:pPr>
        <w:pStyle w:val="2"/>
        <w:ind w:firstLine="560" w:firstLineChars="200"/>
      </w:pPr>
      <w:r>
        <w:rPr>
          <w:rFonts w:hint="eastAsia" w:ascii="仿宋_GB2312" w:hAnsi="Times New Roman" w:eastAsia="仿宋_GB2312" w:cs="仿宋_GB2312"/>
          <w:b w:val="0"/>
          <w:bCs w:val="0"/>
          <w:kern w:val="2"/>
          <w:sz w:val="28"/>
          <w:szCs w:val="28"/>
          <w:lang w:bidi="ar"/>
        </w:rPr>
        <w:t>2024年度财政拨款支出总计2600.81万元，比上年增加276.36万元，增长11.46%。主要原因：由于24年住房补贴发放比23年有所增加，社会实践项目也比去年增加，所以今年经费支出增加了。</w:t>
      </w:r>
    </w:p>
    <w:p>
      <w:pPr>
        <w:numPr>
          <w:ilvl w:val="0"/>
          <w:numId w:val="1"/>
        </w:numPr>
        <w:tabs>
          <w:tab w:val="center" w:pos="6979"/>
        </w:tabs>
        <w:spacing w:line="580" w:lineRule="exact"/>
        <w:rPr>
          <w:rFonts w:ascii="黑体" w:eastAsia="黑体"/>
          <w:b/>
          <w:sz w:val="28"/>
          <w:szCs w:val="28"/>
        </w:rPr>
      </w:pPr>
      <w:r>
        <w:rPr>
          <w:rFonts w:hint="eastAsia" w:ascii="黑体" w:eastAsia="黑体"/>
          <w:b/>
          <w:sz w:val="28"/>
          <w:szCs w:val="28"/>
        </w:rPr>
        <w:t>一般公共预算财政拨款支出决算情况说明</w:t>
      </w:r>
    </w:p>
    <w:p>
      <w:pPr>
        <w:autoSpaceDE w:val="0"/>
        <w:autoSpaceDN w:val="0"/>
        <w:adjustRightInd w:val="0"/>
        <w:spacing w:line="580" w:lineRule="exact"/>
        <w:ind w:firstLine="560" w:firstLineChars="200"/>
        <w:jc w:val="left"/>
        <w:rPr>
          <w:rFonts w:ascii="仿宋_GB2312" w:eastAsia="仿宋_GB2312" w:cs="仿宋_GB2312"/>
          <w:sz w:val="28"/>
          <w:szCs w:val="28"/>
        </w:rPr>
      </w:pPr>
      <w:r>
        <w:rPr>
          <w:rFonts w:hint="eastAsia" w:ascii="仿宋_GB2312" w:eastAsia="仿宋_GB2312" w:cs="仿宋_GB2312"/>
          <w:sz w:val="28"/>
          <w:szCs w:val="28"/>
          <w:lang w:bidi="ar"/>
        </w:rPr>
        <w:t>（一）一般公共预算财政拨款支出决算总体情况</w:t>
      </w:r>
    </w:p>
    <w:p>
      <w:pPr>
        <w:tabs>
          <w:tab w:val="center" w:pos="6979"/>
        </w:tabs>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lang w:bidi="ar"/>
        </w:rPr>
        <w:t>2024年度一般公共预算财政拨款支出2600.81万元，主要用于以下方面：教育支出（205）1968.32万元，占本年财政拨款支出75.68%；社会保证和就业支出（208）264.08万元，占本年财政拨款支出10.15%；卫生健康支出（210）171.85万元，占本年财政拨款支出6.61%；节能环保支出(211)12万元，占本年财政拨款支出0.46%。住房保障支出（221）184.56万元，占本年财政拨款支出7.10%。</w:t>
      </w:r>
    </w:p>
    <w:p>
      <w:pPr>
        <w:tabs>
          <w:tab w:val="center" w:pos="6979"/>
        </w:tabs>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lang w:bidi="ar"/>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cs="仿宋_GB2312"/>
          <w:sz w:val="28"/>
          <w:szCs w:val="28"/>
        </w:rPr>
      </w:pPr>
      <w:r>
        <w:rPr>
          <w:rFonts w:hint="eastAsia" w:ascii="仿宋_GB2312" w:eastAsia="仿宋_GB2312" w:cs="仿宋_GB2312"/>
          <w:sz w:val="28"/>
          <w:szCs w:val="28"/>
          <w:lang w:bidi="ar"/>
        </w:rPr>
        <w:t>1.“教育支出”2024年度年初预算1839.77万元，2024年度决算1968.32万元，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。其中：</w:t>
      </w:r>
    </w:p>
    <w:p>
      <w:pPr>
        <w:spacing w:line="580" w:lineRule="exact"/>
        <w:ind w:firstLine="840" w:firstLineChars="300"/>
        <w:rPr>
          <w:rFonts w:ascii="仿宋_GB2312" w:eastAsia="仿宋_GB2312" w:cs="仿宋_GB2312"/>
          <w:sz w:val="28"/>
          <w:szCs w:val="28"/>
        </w:rPr>
      </w:pPr>
      <w:r>
        <w:rPr>
          <w:rFonts w:hint="eastAsia" w:ascii="仿宋_GB2312" w:eastAsia="仿宋_GB2312" w:cs="仿宋_GB2312"/>
          <w:sz w:val="28"/>
          <w:szCs w:val="28"/>
          <w:lang w:bidi="ar"/>
        </w:rPr>
        <w:t>“普通教育”2024年度年初预算1839.77万元，2024年度决算1961.65万元，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。主要原因公用减少如公务用车剩余指标退回，接待费退回等，因增减人变化，社保基数的调整，人员经费增加。</w:t>
      </w:r>
    </w:p>
    <w:p>
      <w:pPr>
        <w:spacing w:line="580" w:lineRule="exact"/>
        <w:ind w:firstLine="840" w:firstLineChars="300"/>
        <w:rPr>
          <w:rFonts w:ascii="仿宋_GB2312" w:eastAsia="仿宋_GB2312" w:cs="仿宋_GB2312"/>
          <w:sz w:val="28"/>
          <w:szCs w:val="28"/>
          <w:lang w:bidi="ar"/>
        </w:rPr>
      </w:pPr>
      <w:r>
        <w:rPr>
          <w:rFonts w:hint="eastAsia" w:ascii="仿宋_GB2312" w:eastAsia="仿宋_GB2312" w:cs="仿宋_GB2312"/>
          <w:sz w:val="28"/>
          <w:szCs w:val="28"/>
          <w:lang w:bidi="ar"/>
        </w:rPr>
        <w:t>“小学教育”2024年度年初预算1839.77万元，2024年度决算1961.65万元，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。主要原因原因公用减少如公务用车剩余指标退回，接待费退回等，因增减人变化，社保基数的调整，人员经费增加。</w:t>
      </w:r>
    </w:p>
    <w:p>
      <w:pPr>
        <w:spacing w:line="580" w:lineRule="exact"/>
        <w:ind w:firstLine="700" w:firstLineChars="250"/>
        <w:rPr>
          <w:rFonts w:ascii="仿宋_GB2312" w:eastAsia="仿宋_GB2312" w:cs="仿宋_GB2312"/>
          <w:sz w:val="28"/>
          <w:szCs w:val="28"/>
        </w:rPr>
      </w:pPr>
      <w:r>
        <w:rPr>
          <w:rFonts w:hint="eastAsia" w:ascii="仿宋_GB2312" w:eastAsia="仿宋_GB2312" w:cs="仿宋_GB2312"/>
          <w:sz w:val="28"/>
          <w:szCs w:val="28"/>
          <w:lang w:bidi="ar"/>
        </w:rPr>
        <w:t>“其他普通教育”2024年度年初预算0万元，2024年度决算6.67万元，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。主要原因2024年增加了外墙修缮项目所以比年初预算增加6.67万元。</w:t>
      </w:r>
    </w:p>
    <w:p>
      <w:pPr>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lang w:bidi="ar"/>
        </w:rPr>
        <w:t>2.“社会保障和就业支出” 2024年度年初预算262.48万元， 2024年度决算264.08万元，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。其中：</w:t>
      </w:r>
    </w:p>
    <w:p>
      <w:pPr>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lang w:bidi="ar"/>
        </w:rPr>
        <w:t>“事业单位离退休”2024年度年初预算1.09万元，2024年度决算1.09万元，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。主要原因：2024年没有新增退休老师。</w:t>
      </w:r>
    </w:p>
    <w:p>
      <w:pPr>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lang w:bidi="ar"/>
        </w:rPr>
        <w:t>“机关事业单位基本养老保险缴费支出” 2024年度年初预算174.61万元2024年度决算176.17万元，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。主要原因：2027年7月社保基数调整。</w:t>
      </w:r>
    </w:p>
    <w:p>
      <w:pPr>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lang w:bidi="ar"/>
        </w:rPr>
        <w:t>“机关事业单位职业年金缴费支出” 2024年度年初预算86.78万元，2024年度决算86.82万元，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。主要原因：2024年7月社保基数调整。</w:t>
      </w:r>
    </w:p>
    <w:p>
      <w:pPr>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lang w:bidi="ar"/>
        </w:rPr>
        <w:t>3.“卫生健康支出”2024年度年初预算170.36万元，2024年度决算171.84万元，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。其中：</w:t>
      </w:r>
    </w:p>
    <w:p>
      <w:pPr>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lang w:bidi="ar"/>
        </w:rPr>
        <w:t>“事业单位医疗”2024年度年初预算130.44万元，2024年度决算130.68万元，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。主要原因：2024年7月社保基数调整。</w:t>
      </w:r>
    </w:p>
    <w:p>
      <w:pPr>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lang w:bidi="ar"/>
        </w:rPr>
        <w:t>“公务员医疗补助”2024年度年初预算39.93万元，2024年度决算41.17万元，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。主要原因：2024年7月社保基数调整。</w:t>
      </w:r>
    </w:p>
    <w:p>
      <w:pPr>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lang w:bidi="ar"/>
        </w:rPr>
        <w:t>4.“节能环保支出”2024年度年初预算12万元，2024年度决算12万元，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。其中：</w:t>
      </w:r>
    </w:p>
    <w:p>
      <w:pPr>
        <w:spacing w:line="580" w:lineRule="exact"/>
        <w:ind w:firstLine="700" w:firstLineChars="250"/>
        <w:rPr>
          <w:rFonts w:ascii="仿宋_GB2312" w:eastAsia="仿宋_GB2312" w:cs="仿宋_GB2312"/>
          <w:sz w:val="28"/>
          <w:szCs w:val="28"/>
        </w:rPr>
      </w:pPr>
      <w:r>
        <w:rPr>
          <w:rFonts w:hint="eastAsia" w:ascii="仿宋_GB2312" w:eastAsia="仿宋_GB2312" w:cs="仿宋_GB2312"/>
          <w:sz w:val="28"/>
          <w:szCs w:val="28"/>
          <w:lang w:bidi="ar"/>
        </w:rPr>
        <w:t>“大气”2024年度年初预算12万元，2024年度决算12万元，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。主要原因：增加低碳环保项目。</w:t>
      </w:r>
    </w:p>
    <w:p>
      <w:pPr>
        <w:spacing w:line="580" w:lineRule="exact"/>
        <w:ind w:firstLine="560" w:firstLineChars="200"/>
        <w:rPr>
          <w:rFonts w:ascii="仿宋_GB2312" w:eastAsia="仿宋_GB2312" w:cs="仿宋_GB2312"/>
          <w:sz w:val="28"/>
          <w:szCs w:val="28"/>
        </w:rPr>
      </w:pPr>
      <w:r>
        <w:rPr>
          <w:rFonts w:hint="eastAsia" w:ascii="仿宋_GB2312" w:eastAsia="仿宋_GB2312" w:cs="仿宋_GB2312"/>
          <w:sz w:val="28"/>
          <w:szCs w:val="28"/>
          <w:lang w:bidi="ar"/>
        </w:rPr>
        <w:t>5.“住房保障支出”2024年度年初预算0万元，2024年度决算184.56万元，</w:t>
      </w:r>
      <w:r>
        <w:rPr>
          <w:rFonts w:hint="eastAsia" w:ascii="仿宋_GB2312" w:eastAsia="仿宋_GB2312"/>
          <w:sz w:val="28"/>
          <w:szCs w:val="28"/>
        </w:rPr>
        <w:t>完成年初预算的100.00%</w:t>
      </w:r>
      <w:r>
        <w:rPr>
          <w:rFonts w:hint="eastAsia" w:ascii="仿宋_GB2312" w:eastAsia="仿宋_GB2312" w:cs="仿宋_GB2312"/>
          <w:sz w:val="28"/>
          <w:szCs w:val="28"/>
          <w:lang w:bidi="ar"/>
        </w:rPr>
        <w:t>。其中：</w:t>
      </w:r>
    </w:p>
    <w:p>
      <w:pPr>
        <w:widowControl/>
        <w:ind w:firstLine="700" w:firstLineChars="250"/>
        <w:jc w:val="left"/>
      </w:pPr>
      <w:r>
        <w:rPr>
          <w:rFonts w:hint="eastAsia" w:ascii="仿宋_GB2312" w:eastAsia="仿宋_GB2312"/>
          <w:sz w:val="28"/>
          <w:szCs w:val="28"/>
          <w:lang w:bidi="ar"/>
        </w:rPr>
        <w:t>“购房补贴”</w:t>
      </w:r>
      <w:r>
        <w:rPr>
          <w:rFonts w:hint="eastAsia" w:ascii="仿宋_GB2312" w:eastAsia="仿宋_GB2312" w:cs="仿宋_GB2312"/>
          <w:sz w:val="28"/>
          <w:szCs w:val="28"/>
          <w:lang w:bidi="ar"/>
        </w:rPr>
        <w:t xml:space="preserve"> 2024年度年初预算0万元，</w:t>
      </w:r>
      <w:r>
        <w:rPr>
          <w:rFonts w:hint="eastAsia" w:ascii="仿宋_GB2312" w:eastAsia="仿宋_GB2312"/>
          <w:sz w:val="28"/>
          <w:szCs w:val="28"/>
          <w:lang w:bidi="ar"/>
        </w:rPr>
        <w:t>2024年度决算184.56万元，</w:t>
      </w:r>
      <w:r>
        <w:rPr>
          <w:rFonts w:hint="eastAsia" w:ascii="仿宋_GB2312" w:eastAsia="仿宋_GB2312"/>
          <w:sz w:val="28"/>
          <w:szCs w:val="28"/>
        </w:rPr>
        <w:t>完成年初预算的100.00%</w:t>
      </w:r>
      <w:r>
        <w:rPr>
          <w:rFonts w:hint="eastAsia" w:ascii="仿宋_GB2312" w:eastAsia="仿宋_GB2312"/>
          <w:sz w:val="28"/>
          <w:szCs w:val="28"/>
          <w:lang w:bidi="ar"/>
        </w:rPr>
        <w:t>。主要原因：发放以前年度住房补贴。</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0</w:t>
      </w:r>
      <w:r>
        <w:rPr>
          <w:rFonts w:hint="eastAsia" w:ascii="仿宋_GB2312" w:eastAsia="仿宋_GB2312"/>
          <w:sz w:val="28"/>
          <w:szCs w:val="28"/>
        </w:rPr>
        <w:t>万元。</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cs="仿宋_GB2312"/>
          <w:sz w:val="28"/>
          <w:szCs w:val="28"/>
          <w:lang w:bidi="ar"/>
        </w:rPr>
        <w:t>2024年度使用一般公共预算财政拨款安排基本支出2324.00万元，使用政府性基金财政拨款安排基本支出0.00万元，使用国有资本经营预算财政拨款安排基本支出0.00万元，</w:t>
      </w:r>
      <w:r>
        <w:rPr>
          <w:rFonts w:hint="eastAsia" w:ascii="仿宋_GB2312" w:eastAsia="仿宋_GB2312"/>
          <w:sz w:val="28"/>
          <w:szCs w:val="28"/>
        </w:rPr>
        <w:t>（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p>
    <w:p>
      <w:pPr>
        <w:autoSpaceDE w:val="0"/>
        <w:autoSpaceDN w:val="0"/>
        <w:adjustRightInd w:val="0"/>
        <w:spacing w:line="580" w:lineRule="exact"/>
        <w:rPr>
          <w:rFonts w:ascii="宋体" w:hAnsi="宋体"/>
          <w:b/>
          <w:spacing w:val="40"/>
          <w:sz w:val="32"/>
          <w:szCs w:val="32"/>
        </w:rPr>
      </w:pPr>
      <w:r>
        <w:rPr>
          <w:rFonts w:hint="eastAsia"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tabs>
          <w:tab w:val="center" w:pos="6979"/>
        </w:tabs>
        <w:ind w:firstLine="990"/>
        <w:jc w:val="left"/>
        <w:rPr>
          <w:rFonts w:ascii="宋体" w:hAnsi="宋体" w:cs="宋体"/>
          <w:b/>
          <w:color w:val="FF0000"/>
          <w:spacing w:val="40"/>
          <w:kern w:val="0"/>
          <w:sz w:val="32"/>
          <w:szCs w:val="32"/>
        </w:rPr>
      </w:pPr>
      <w:r>
        <w:rPr>
          <w:rFonts w:hint="eastAsia" w:ascii="仿宋_GB2312" w:eastAsia="仿宋_GB2312"/>
          <w:sz w:val="28"/>
          <w:szCs w:val="28"/>
        </w:rPr>
        <w:t>2024年度“三公”经费财政拨款决算数</w:t>
      </w:r>
      <w:r>
        <w:rPr>
          <w:rFonts w:ascii="仿宋_GB2312" w:eastAsia="仿宋_GB2312"/>
          <w:sz w:val="28"/>
          <w:szCs w:val="28"/>
        </w:rPr>
        <w:t>1.7</w:t>
      </w:r>
      <w:r>
        <w:rPr>
          <w:rFonts w:hint="eastAsia" w:ascii="仿宋_GB2312" w:eastAsia="仿宋_GB2312"/>
          <w:sz w:val="28"/>
          <w:szCs w:val="28"/>
        </w:rPr>
        <w:t>万元，比2024年度“三公”经费财政拨款年初预算</w:t>
      </w:r>
      <w:r>
        <w:rPr>
          <w:rFonts w:ascii="仿宋_GB2312" w:eastAsia="仿宋_GB2312"/>
          <w:sz w:val="28"/>
          <w:szCs w:val="28"/>
        </w:rPr>
        <w:t>3.7</w:t>
      </w:r>
      <w:r>
        <w:rPr>
          <w:rFonts w:hint="eastAsia" w:ascii="仿宋_GB2312" w:eastAsia="仿宋_GB2312"/>
          <w:sz w:val="28"/>
          <w:szCs w:val="28"/>
        </w:rPr>
        <w:t>万元减少2万元。</w:t>
      </w:r>
      <w:r>
        <w:rPr>
          <w:rFonts w:hint="eastAsia" w:ascii="仿宋_GB2312" w:eastAsia="仿宋_GB2312" w:cs="仿宋_GB2312"/>
          <w:sz w:val="28"/>
          <w:szCs w:val="28"/>
          <w:lang w:bidi="ar"/>
        </w:rPr>
        <w:t>其中：</w:t>
      </w:r>
    </w:p>
    <w:p>
      <w:pPr>
        <w:spacing w:line="560" w:lineRule="exact"/>
        <w:ind w:firstLine="600"/>
        <w:rPr>
          <w:rFonts w:ascii="仿宋_GB2312" w:cs="仿宋_GB2312" w:eastAsiaTheme="minorEastAsia"/>
          <w:sz w:val="28"/>
          <w:szCs w:val="28"/>
          <w:lang w:bidi="ar"/>
        </w:rPr>
      </w:pPr>
      <w:r>
        <w:rPr>
          <w:rFonts w:hint="eastAsia" w:ascii="仿宋_GB2312" w:eastAsia="仿宋_GB2312" w:cs="仿宋_GB2312"/>
          <w:sz w:val="28"/>
          <w:szCs w:val="28"/>
          <w:lang w:bidi="ar"/>
        </w:rPr>
        <w:t>1.因公出国（境）费用。2024年度决算数0. 国审批情00万元，比2024年度年初预算数0万元增减没有变化，保持一致。主要原因：是因公出国（境）费用根据年度出况作为追加项目管理，单位不做年初预算，本年也没有出过审批项目发生；2</w:t>
      </w:r>
      <w:r>
        <w:rPr>
          <w:rFonts w:ascii="仿宋_GB2312" w:eastAsia="仿宋_GB2312" w:cs="仿宋_GB2312"/>
          <w:sz w:val="28"/>
          <w:szCs w:val="28"/>
          <w:lang w:bidi="ar"/>
        </w:rPr>
        <w:t>024</w:t>
      </w:r>
      <w:r>
        <w:rPr>
          <w:rFonts w:hint="eastAsia" w:ascii="仿宋_GB2312" w:eastAsia="仿宋_GB2312" w:cs="仿宋_GB2312"/>
          <w:sz w:val="28"/>
          <w:szCs w:val="28"/>
          <w:lang w:bidi="ar"/>
        </w:rPr>
        <w:t>年度因公出国（境）费用主要用于出国（境）的会议、培训交流等事项等，2024年度组织因公出国（境）团组0个、0人次。</w:t>
      </w:r>
    </w:p>
    <w:p>
      <w:pPr>
        <w:spacing w:line="560" w:lineRule="exact"/>
        <w:ind w:firstLine="700" w:firstLineChars="250"/>
        <w:rPr>
          <w:rFonts w:ascii="仿宋_GB2312" w:eastAsia="仿宋_GB2312" w:cs="仿宋_GB2312"/>
          <w:sz w:val="28"/>
          <w:szCs w:val="28"/>
          <w:lang w:bidi="ar"/>
        </w:rPr>
      </w:pPr>
      <w:r>
        <w:rPr>
          <w:rFonts w:hint="eastAsia" w:ascii="仿宋_GB2312" w:eastAsia="仿宋_GB2312" w:cs="仿宋_GB2312"/>
          <w:sz w:val="28"/>
          <w:szCs w:val="28"/>
          <w:lang w:bidi="ar"/>
        </w:rPr>
        <w:t>2.公务接待费。2024年度决算数0.00万元，比2024年度年初预算数1.00万元减少1.00万元。主要原因：本年度无公务接待支出，2</w:t>
      </w:r>
      <w:r>
        <w:rPr>
          <w:rFonts w:ascii="仿宋_GB2312" w:eastAsia="仿宋_GB2312" w:cs="仿宋_GB2312"/>
          <w:sz w:val="28"/>
          <w:szCs w:val="28"/>
          <w:lang w:bidi="ar"/>
        </w:rPr>
        <w:t>024</w:t>
      </w:r>
      <w:r>
        <w:rPr>
          <w:rFonts w:hint="eastAsia" w:ascii="仿宋_GB2312" w:eastAsia="仿宋_GB2312" w:cs="仿宋_GB2312"/>
          <w:sz w:val="28"/>
          <w:szCs w:val="28"/>
          <w:lang w:bidi="ar"/>
        </w:rPr>
        <w:t>年度公务接待费用主要用于公务接待事项。公务接待0批次，公务接待0人次。</w:t>
      </w:r>
    </w:p>
    <w:p>
      <w:pPr>
        <w:spacing w:line="560" w:lineRule="exact"/>
        <w:ind w:firstLine="560" w:firstLineChars="200"/>
        <w:rPr>
          <w:rFonts w:ascii="仿宋_GB2312" w:eastAsia="仿宋_GB2312" w:cs="仿宋_GB2312"/>
          <w:sz w:val="28"/>
          <w:szCs w:val="28"/>
          <w:lang w:bidi="ar"/>
        </w:rPr>
      </w:pPr>
      <w:r>
        <w:rPr>
          <w:rFonts w:hint="eastAsia" w:ascii="仿宋_GB2312" w:eastAsia="仿宋_GB2312" w:cs="仿宋_GB2312"/>
          <w:sz w:val="28"/>
          <w:szCs w:val="28"/>
          <w:lang w:bidi="ar"/>
        </w:rPr>
        <w:t>3.公务用车购置及运行维护费。2024年度决算数1.70万元，比2024年度年初预算数2.70万元减少1.00万元。其中，公务用车购置费2024年度决算数0.00万元，比2024年度年初预算数0.00万元增减没有变化。</w:t>
      </w:r>
      <w:r>
        <w:rPr>
          <w:rFonts w:hint="eastAsia" w:cs="仿宋_GB2312" w:asciiTheme="minorEastAsia" w:hAnsiTheme="minorEastAsia" w:eastAsiaTheme="minorEastAsia"/>
          <w:sz w:val="28"/>
          <w:szCs w:val="28"/>
          <w:lang w:bidi="ar"/>
        </w:rPr>
        <w:t>主</w:t>
      </w:r>
      <w:r>
        <w:rPr>
          <w:rFonts w:hint="eastAsia" w:ascii="仿宋_GB2312" w:eastAsia="仿宋_GB2312" w:cs="仿宋_GB2312"/>
          <w:sz w:val="28"/>
          <w:szCs w:val="28"/>
          <w:lang w:bidi="ar"/>
        </w:rPr>
        <w:t>要原因：</w:t>
      </w:r>
      <w:r>
        <w:rPr>
          <w:rFonts w:hint="eastAsia" w:ascii="仿宋_GB2312" w:eastAsia="仿宋_GB2312"/>
          <w:sz w:val="28"/>
          <w:szCs w:val="28"/>
        </w:rPr>
        <w:t>2024年度购置（更新）0辆</w:t>
      </w:r>
      <w:r>
        <w:rPr>
          <w:rFonts w:hint="eastAsia" w:ascii="仿宋_GB2312" w:eastAsia="仿宋_GB2312" w:cs="仿宋_GB2312"/>
          <w:sz w:val="28"/>
          <w:szCs w:val="28"/>
          <w:lang w:bidi="ar"/>
        </w:rPr>
        <w:t>。公务用车运行维护费2024年度决算数1.70万元，比2024年度年初预算数2.70万元减少1.00万元，主要原因：严格落实公务用车使用制度，认真贯彻厉行节约反对浪费的有关要求，本着节俭高效的原则，进一步加强公务用车管理，减少费用支出。2024年度公务用车保有量1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left="540"/>
        <w:rPr>
          <w:rFonts w:ascii="仿宋_GB2312" w:eastAsia="仿宋_GB2312"/>
          <w:sz w:val="28"/>
          <w:szCs w:val="28"/>
        </w:rPr>
      </w:pPr>
      <w:r>
        <w:rPr>
          <w:rFonts w:hint="eastAsia" w:ascii="仿宋_GB2312" w:eastAsia="仿宋_GB2312" w:cs="仿宋_GB2312"/>
          <w:sz w:val="28"/>
          <w:szCs w:val="28"/>
          <w:lang w:bidi="ar"/>
        </w:rPr>
        <w:t>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cs="仿宋_GB2312"/>
          <w:sz w:val="28"/>
          <w:szCs w:val="28"/>
        </w:rPr>
      </w:pPr>
      <w:r>
        <w:rPr>
          <w:rFonts w:hint="eastAsia" w:ascii="仿宋_GB2312" w:eastAsia="仿宋_GB2312" w:cs="仿宋_GB2312"/>
          <w:sz w:val="28"/>
          <w:szCs w:val="28"/>
          <w:lang w:bidi="ar"/>
        </w:rPr>
        <w:t>2024年度政府采购支出总额25.71万元，其中：政府采购货物支出0.76万元，政府采购工程支出0.00万元，政府采购服务支出24.95万元。授予中小企业合同金额24.89万元，占政府采购支出总额的96.81%，其中：授予小微企业合同金额24.05万元，占政府采购支出总额的93.54%。</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截至12月31日，北京教育科学研究院大兴实验小学共有车辆1台；单位价值100万元（含）以上的设备0台（套）。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7. 2024年市提前下达专项中小学生实践活动：理论联系实际是党的优良传统和作风，教育与生产劳动和社会实践相结合是党的教育方针的重要内容，理论教育和实践教育相结合是学生思想政治教育的根本原则。参加社会实践，了解社会、认识国情，增长才干、奉献社会，锻炼毅力、培养品格，对于加深对邓小平理论和“三个代表”重要思想的理解，深化对党的路线方针政策的认识，坚定在中国共产党领导下，走中国特色社会主义道路，实现中华民族伟大复兴的共同理想和信念，增强历史使命感和社会责任感，具有不可替代的重要作用，对于培养中国特色社会主义事业的合格建设者和可靠接班人具有极其重要的意义。</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8. 教育支出 (类):反应政府教育事务支出。</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9.教育支出 (类)普通教育（款）：反应各类普通教育支出。</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10.教育支出 (类)其他教育支出 (款)小学教育 (项):反映各部门举办的小学教育支出。</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11.教育支出 (类)其他教育支出 (款)</w:t>
      </w:r>
      <w:r>
        <w:rPr>
          <w:lang w:bidi="ar"/>
        </w:rPr>
        <w:t xml:space="preserve"> </w:t>
      </w:r>
      <w:r>
        <w:rPr>
          <w:rFonts w:hint="eastAsia" w:ascii="仿宋_GB2312" w:eastAsia="仿宋_GB2312" w:cs="仿宋_GB2312"/>
          <w:sz w:val="28"/>
          <w:szCs w:val="28"/>
          <w:lang w:bidi="ar"/>
        </w:rPr>
        <w:t>其他普通教育支出 (项)：反应除上述项目以外其他用于普通教育方面的支出。</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12.社会保障和就业支出 (类)：反应政府在社会保障与就业方面的支出。</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13.社会保障和就业支出 (类)行政事业单位养老支出 (款)：反应用于行政事业单位养老方面的支出。</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14.社会保障和就业支出(类)行政事业单位养老支出(款)行政单位离退休(项):反映行政单位(包括实行公务员管理的事业单位)开支的离退休经费。</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15.社会保障和就业支出(类)行政事业单位养老支出(款)机关事业单位基本养老保险缴费支出(项):反映机关事业单位实施养老保险制度由单位缴纳的基本养老保险支出。</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16.社会保障和就业支出(类)行政事业单位养老支出(款)机关事业单位职业年金缴费支出(项):反映机关事业单位实施养老保险制度由单位实际缴纳的职业年金支出。</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17.卫生健康支出（类）：反应卫生健康方面的支出。</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18.</w:t>
      </w:r>
      <w:r>
        <w:rPr>
          <w:lang w:bidi="ar"/>
        </w:rPr>
        <w:t xml:space="preserve"> </w:t>
      </w:r>
      <w:r>
        <w:rPr>
          <w:rFonts w:hint="eastAsia" w:ascii="仿宋_GB2312" w:eastAsia="仿宋_GB2312" w:cs="仿宋_GB2312"/>
          <w:sz w:val="28"/>
          <w:szCs w:val="28"/>
          <w:lang w:bidi="ar"/>
        </w:rPr>
        <w:t>卫生健康支出（类）行政事业单位医疗（款）：反应行政事业单位医疗方面的支出。</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19.</w:t>
      </w:r>
      <w:r>
        <w:rPr>
          <w:lang w:bidi="ar"/>
        </w:rPr>
        <w:t xml:space="preserve"> </w:t>
      </w:r>
      <w:r>
        <w:rPr>
          <w:rFonts w:hint="eastAsia" w:ascii="仿宋_GB2312" w:eastAsia="仿宋_GB2312" w:cs="仿宋_GB2312"/>
          <w:sz w:val="28"/>
          <w:szCs w:val="28"/>
          <w:lang w:bidi="ar"/>
        </w:rPr>
        <w:t>卫生健康支出（类）行政事业单位医疗（款）事业单位医疗（项）：反映财政部门安排的事业单位基本医疗保险缴费经费，未参加医疗保险的事业单位的公费医疗经费，按国家规定享受离休人员待遇的医疗经费。 反映财政部门安排的公务员医疗补助经费。</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20.</w:t>
      </w:r>
      <w:r>
        <w:rPr>
          <w:lang w:bidi="ar"/>
        </w:rPr>
        <w:t xml:space="preserve"> </w:t>
      </w:r>
      <w:r>
        <w:rPr>
          <w:rFonts w:hint="eastAsia" w:ascii="仿宋_GB2312" w:eastAsia="仿宋_GB2312" w:cs="仿宋_GB2312"/>
          <w:sz w:val="28"/>
          <w:szCs w:val="28"/>
          <w:lang w:bidi="ar"/>
        </w:rPr>
        <w:t>卫生健康支出（类）行政事业单位医疗（款）公务员医疗补助（项）：反映财政部门安排的公务员医疗补助经费。</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21.节能环保支出（类）：反映政府节能环保支出。</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22．节能环保支出（类）污染防治（款）：反映政府在治理大气、水体、噪音、固体废弃物、放射性物质等方面的支出。</w:t>
      </w:r>
    </w:p>
    <w:p>
      <w:pPr>
        <w:ind w:firstLine="420" w:firstLineChars="150"/>
        <w:rPr>
          <w:rFonts w:ascii="仿宋_GB2312" w:eastAsia="仿宋_GB2312" w:cs="仿宋_GB2312"/>
          <w:sz w:val="28"/>
          <w:szCs w:val="28"/>
        </w:rPr>
      </w:pPr>
      <w:r>
        <w:rPr>
          <w:rFonts w:hint="eastAsia" w:ascii="仿宋_GB2312" w:eastAsia="仿宋_GB2312" w:cs="仿宋_GB2312"/>
          <w:sz w:val="28"/>
          <w:szCs w:val="28"/>
          <w:lang w:bidi="ar"/>
        </w:rPr>
        <w:t>23.</w:t>
      </w:r>
      <w:r>
        <w:rPr>
          <w:lang w:bidi="ar"/>
        </w:rPr>
        <w:t xml:space="preserve"> </w:t>
      </w:r>
      <w:r>
        <w:rPr>
          <w:rFonts w:hint="eastAsia" w:ascii="仿宋_GB2312" w:eastAsia="仿宋_GB2312" w:cs="仿宋_GB2312"/>
          <w:sz w:val="28"/>
          <w:szCs w:val="28"/>
          <w:lang w:bidi="ar"/>
        </w:rPr>
        <w:t>节能环保支出（类）污染防治（款）大气（项）：反映政府在治理空气污染、汽车尾气、酸雨、二氧化硫、沙尘等方面的支出。</w:t>
      </w: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rPr>
          <w:rFonts w:ascii="黑体" w:eastAsia="黑体"/>
          <w:sz w:val="28"/>
          <w:szCs w:val="28"/>
          <w:highlight w:val="yellow"/>
        </w:rPr>
      </w:pPr>
    </w:p>
    <w:p>
      <w:pPr>
        <w:ind w:left="560"/>
        <w:jc w:val="center"/>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jc w:val="cente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21008"/>
    <w:multiLevelType w:val="singleLevel"/>
    <w:tmpl w:val="11E21008"/>
    <w:lvl w:ilvl="0" w:tentative="0">
      <w:start w:val="1"/>
      <w:numFmt w:val="chineseCounting"/>
      <w:suff w:val="nothing"/>
      <w:lvlText w:val="（%1）"/>
      <w:lvlJc w:val="left"/>
      <w:rPr>
        <w:rFonts w:hint="eastAsia"/>
      </w:rPr>
    </w:lvl>
  </w:abstractNum>
  <w:abstractNum w:abstractNumId="1">
    <w:nsid w:val="748980DA"/>
    <w:multiLevelType w:val="singleLevel"/>
    <w:tmpl w:val="748980DA"/>
    <w:lvl w:ilvl="0" w:tentative="0">
      <w:start w:val="2"/>
      <w:numFmt w:val="chineseCounting"/>
      <w:suff w:val="nothing"/>
      <w:lvlText w:val="%1、"/>
      <w:lvlJc w:val="left"/>
      <w:pPr>
        <w:ind w:left="481"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18E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2F6B"/>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05E10"/>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67ED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1EE"/>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07B2"/>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3BBD"/>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56459"/>
    <w:rsid w:val="00B6204E"/>
    <w:rsid w:val="00B649EC"/>
    <w:rsid w:val="00B652DF"/>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0413"/>
    <w:rsid w:val="00E8595B"/>
    <w:rsid w:val="00E915EC"/>
    <w:rsid w:val="00E94CA1"/>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5946EE"/>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CB23A1"/>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标题 2 Char"/>
    <w:basedOn w:val="11"/>
    <w:link w:val="2"/>
    <w:qFormat/>
    <w:uiPriority w:val="0"/>
    <w:rPr>
      <w:rFonts w:hint="default" w:ascii="Cambria" w:hAnsi="Cambria" w:eastAsia="黑体" w:cs="Cambria"/>
      <w:b/>
      <w:bCs/>
      <w:sz w:val="36"/>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2416.25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2324</c:v>
                </c:pt>
                <c:pt idx="1">
                  <c:v>276.81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E55EFF-E3C7-403B-9841-2C49C0B94126}">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897</Words>
  <Characters>5116</Characters>
  <Lines>42</Lines>
  <Paragraphs>12</Paragraphs>
  <TotalTime>1</TotalTime>
  <ScaleCrop>false</ScaleCrop>
  <LinksUpToDate>false</LinksUpToDate>
  <CharactersWithSpaces>6001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2025-09-29T03:45:00Z</dcterms:created>
  <dc:creator>常程</dc:creator>
  <cp:lastModifiedBy>pc</cp:lastModifiedBy>
  <cp:lastPrinted>2020-08-09T03:39:00Z</cp:lastPrinted>
  <dcterms:modified xsi:type="dcterms:W3CDTF">2025-11-06T08:10:14Z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