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C0B2017">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lang w:eastAsia="zh-CN"/>
        </w:rPr>
        <w:t>（</w:t>
      </w:r>
      <w:r>
        <w:rPr>
          <w:rFonts w:hint="eastAsia" w:ascii="仿宋_GB2312" w:eastAsia="仿宋_GB2312"/>
          <w:kern w:val="0"/>
          <w:sz w:val="28"/>
          <w:szCs w:val="28"/>
        </w:rPr>
        <w:t>一）本单位职责：</w:t>
      </w:r>
    </w:p>
    <w:p w14:paraId="51DB0140">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rPr>
        <w:t>1.全面贯彻国家教育方针，培养学生的创新精神与实践能力，使之成为社会主义事业的建设者和接班人。</w:t>
      </w:r>
    </w:p>
    <w:p w14:paraId="59CBC77E">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rPr>
        <w:t>2．负责所属服务片学生义务教育阶段小学教育教学工作。</w:t>
      </w:r>
    </w:p>
    <w:p w14:paraId="79B12568">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rPr>
        <w:t>（二）机构设置情况：</w:t>
      </w:r>
    </w:p>
    <w:p w14:paraId="1EE3A848">
      <w:pPr>
        <w:tabs>
          <w:tab w:val="center" w:pos="6979"/>
        </w:tabs>
        <w:spacing w:line="580" w:lineRule="exact"/>
        <w:ind w:firstLine="565" w:firstLineChars="202"/>
        <w:rPr>
          <w:rFonts w:ascii="仿宋_GB2312" w:eastAsia="仿宋_GB2312"/>
          <w:kern w:val="0"/>
          <w:sz w:val="28"/>
          <w:szCs w:val="28"/>
        </w:rPr>
      </w:pPr>
      <w:r>
        <w:rPr>
          <w:rFonts w:hint="eastAsia" w:ascii="仿宋_GB2312" w:eastAsia="仿宋_GB2312"/>
          <w:kern w:val="0"/>
          <w:sz w:val="28"/>
          <w:szCs w:val="28"/>
        </w:rPr>
        <w:t>内设机构：工会、教务处、科研办、总务处、少先队办、德育处、安保办。</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5120.76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461.41万元，增长</w:t>
      </w:r>
      <w:r>
        <w:rPr>
          <w:rFonts w:hint="eastAsia" w:ascii="仿宋_GB2312" w:eastAsia="仿宋_GB2312"/>
          <w:sz w:val="28"/>
          <w:szCs w:val="28"/>
          <w:lang w:val="en-US" w:eastAsia="zh-CN"/>
        </w:rPr>
        <w:t>9.9</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4776.63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117.28万元，增长</w:t>
      </w: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eastAsia="zh-CN"/>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4776.63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一般公共预算财政拨款收入4776.63万元，占收入合计的100%；政府性基金预算财政拨款收入0万元，占收入合计的0%；国有资本经营预算财政拨款收入0万元，占收入合计的0%。</w:t>
      </w: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5120.76</w:t>
      </w:r>
      <w:r>
        <w:rPr>
          <w:rFonts w:hint="eastAsia" w:ascii="仿宋_GB2312" w:eastAsia="仿宋_GB2312"/>
          <w:sz w:val="28"/>
          <w:szCs w:val="28"/>
        </w:rPr>
        <w:t>万元，比上年增加672.44万元，增长15.11%。其中：基本支</w:t>
      </w:r>
      <w:r>
        <w:rPr>
          <w:rFonts w:hint="eastAsia" w:ascii="仿宋_GB2312" w:eastAsia="仿宋_GB2312"/>
          <w:sz w:val="28"/>
          <w:szCs w:val="28"/>
          <w:highlight w:val="none"/>
        </w:rPr>
        <w:t>出</w:t>
      </w:r>
      <w:r>
        <w:rPr>
          <w:rFonts w:ascii="仿宋_GB2312" w:eastAsia="仿宋_GB2312"/>
          <w:sz w:val="28"/>
          <w:szCs w:val="28"/>
          <w:highlight w:val="none"/>
        </w:rPr>
        <w:t>4322.14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84.4</w:t>
      </w:r>
      <w:r>
        <w:rPr>
          <w:rFonts w:hint="eastAsia" w:ascii="仿宋_GB2312" w:eastAsia="仿宋_GB2312"/>
          <w:sz w:val="28"/>
          <w:szCs w:val="28"/>
          <w:highlight w:val="none"/>
        </w:rPr>
        <w:t>%；项目支出</w:t>
      </w:r>
      <w:r>
        <w:rPr>
          <w:rFonts w:ascii="仿宋_GB2312" w:eastAsia="仿宋_GB2312"/>
          <w:sz w:val="28"/>
          <w:szCs w:val="28"/>
          <w:highlight w:val="none"/>
        </w:rPr>
        <w:t>798.62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15.6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DC49272">
      <w:pPr>
        <w:spacing w:line="560" w:lineRule="exact"/>
        <w:ind w:firstLine="640"/>
        <w:rPr>
          <w:rFonts w:hint="eastAsia" w:ascii="仿宋_GB2312" w:eastAsia="仿宋_GB2312" w:cs="Droid Sans"/>
          <w:color w:val="000000"/>
          <w:sz w:val="32"/>
          <w:szCs w:val="32"/>
          <w:highlight w:val="none"/>
          <w:lang w:eastAsia="zh-CN"/>
        </w:rPr>
      </w:pP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5120.76</w:t>
      </w:r>
      <w:r>
        <w:rPr>
          <w:rFonts w:hint="eastAsia" w:ascii="仿宋_GB2312" w:eastAsia="仿宋_GB2312"/>
          <w:sz w:val="28"/>
          <w:szCs w:val="28"/>
        </w:rPr>
        <w:t>万元，比上年增加117.28万元，增长2%。主要原因：上年结转资金用于补发以前年度住房补贴。本年项目资金投入量也较上年有所增加。</w:t>
      </w:r>
    </w:p>
    <w:p w14:paraId="2440887E">
      <w:pPr>
        <w:tabs>
          <w:tab w:val="center" w:pos="6979"/>
        </w:tabs>
        <w:spacing w:line="580" w:lineRule="exact"/>
        <w:ind w:firstLine="548" w:firstLineChars="196"/>
        <w:rPr>
          <w:rFonts w:hint="eastAsia" w:ascii="黑体" w:eastAsia="黑体"/>
          <w:b/>
          <w:color w:val="auto"/>
          <w:sz w:val="28"/>
          <w:szCs w:val="28"/>
        </w:rPr>
      </w:pPr>
      <w:r>
        <w:rPr>
          <w:rFonts w:hint="eastAsia" w:ascii="黑体" w:eastAsia="黑体"/>
          <w:b/>
          <w:color w:val="auto"/>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5120.76</w:t>
      </w:r>
      <w:r>
        <w:rPr>
          <w:rFonts w:hint="eastAsia" w:ascii="仿宋_GB2312" w:eastAsia="仿宋_GB2312"/>
          <w:sz w:val="28"/>
          <w:szCs w:val="28"/>
        </w:rPr>
        <w:t>万元，主要用于以下方面（按大类）：教育支出3652.38万元，占本年财政拨款支出71.32%；社会和保障就业支出518.60万元，占本年财政拨款支出10.12%；卫生健康支出305.65万元，占本年财政拨款支出5.96%.节能环保支出300万，占本年财政拨款支出5.85%.住房保障支出344.13万元，占本年财政拨款支出6.75%。</w:t>
      </w:r>
    </w:p>
    <w:p w14:paraId="38C96F0D">
      <w:pPr>
        <w:autoSpaceDE w:val="0"/>
        <w:autoSpaceDN w:val="0"/>
        <w:adjustRightInd w:val="0"/>
        <w:spacing w:line="580" w:lineRule="exact"/>
        <w:ind w:firstLine="560" w:firstLineChars="200"/>
        <w:jc w:val="left"/>
        <w:rPr>
          <w:rFonts w:hint="eastAsia" w:ascii="仿宋_GB2312" w:eastAsia="仿宋_GB2312"/>
          <w:color w:val="auto"/>
          <w:sz w:val="28"/>
          <w:szCs w:val="28"/>
        </w:rPr>
      </w:pPr>
      <w:bookmarkStart w:id="0" w:name="_GoBack"/>
      <w:r>
        <w:rPr>
          <w:rFonts w:hint="eastAsia" w:ascii="仿宋_GB2312" w:eastAsia="仿宋_GB2312"/>
          <w:color w:val="auto"/>
          <w:sz w:val="28"/>
          <w:szCs w:val="28"/>
        </w:rPr>
        <w:t>（二）一般公共预算财政拨款支出决算具体情况</w:t>
      </w:r>
    </w:p>
    <w:bookmarkEnd w:id="0"/>
    <w:p w14:paraId="1E8E5D0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1.“205教育支出”（类）2024年度年初预算</w:t>
      </w:r>
      <w:r>
        <w:rPr>
          <w:rFonts w:hint="eastAsia" w:ascii="仿宋_GB2312" w:eastAsia="仿宋_GB2312"/>
          <w:sz w:val="28"/>
          <w:szCs w:val="28"/>
          <w:lang w:val="en-US" w:eastAsia="zh-CN"/>
        </w:rPr>
        <w:t>3243.55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2024年度决算3652.38万元，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112.6</w:t>
      </w:r>
      <w:r>
        <w:rPr>
          <w:rFonts w:hint="eastAsia" w:ascii="仿宋_GB2312" w:eastAsia="仿宋_GB2312"/>
          <w:sz w:val="28"/>
          <w:szCs w:val="28"/>
        </w:rPr>
        <w:t>%。其中：工资福利增加，绩效工资改革补发工资、发放住房补贴导致人员经费增长。</w:t>
      </w:r>
    </w:p>
    <w:p w14:paraId="393050E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“20502普通教育”（款）2024年度年初预算</w:t>
      </w:r>
      <w:r>
        <w:rPr>
          <w:rFonts w:hint="eastAsia" w:ascii="仿宋_GB2312" w:eastAsia="仿宋_GB2312"/>
          <w:sz w:val="28"/>
          <w:szCs w:val="28"/>
          <w:lang w:val="en-US" w:eastAsia="zh-CN"/>
        </w:rPr>
        <w:t>3243.55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2024年度决算3652.38万元，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112.6</w:t>
      </w:r>
      <w:r>
        <w:rPr>
          <w:rFonts w:hint="eastAsia" w:ascii="仿宋_GB2312" w:eastAsia="仿宋_GB2312"/>
          <w:sz w:val="28"/>
          <w:szCs w:val="28"/>
        </w:rPr>
        <w:t>%。主要原因：工资福利增加，绩效工资改革补发工资、发放住房补贴导致人员经费增长。</w:t>
      </w:r>
    </w:p>
    <w:p w14:paraId="0BDEA84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2.“208社会保障和就业支出”(类) 2024年度年初预算</w:t>
      </w:r>
      <w:r>
        <w:rPr>
          <w:rFonts w:hint="eastAsia" w:ascii="仿宋_GB2312" w:eastAsia="仿宋_GB2312"/>
          <w:sz w:val="28"/>
          <w:szCs w:val="28"/>
          <w:lang w:val="en-US" w:eastAsia="zh-CN"/>
        </w:rPr>
        <w:t>441.34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2024年度决算518.60万元，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117.5%</w:t>
      </w:r>
      <w:r>
        <w:rPr>
          <w:rFonts w:hint="eastAsia" w:ascii="仿宋_GB2312" w:eastAsia="仿宋_GB2312"/>
          <w:sz w:val="28"/>
          <w:szCs w:val="28"/>
        </w:rPr>
        <w:t>。其中：</w:t>
      </w:r>
    </w:p>
    <w:p w14:paraId="56898C8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“20805行政事业单位养老支出”2024年度年初预算</w:t>
      </w:r>
      <w:r>
        <w:rPr>
          <w:rFonts w:hint="eastAsia" w:ascii="仿宋_GB2312" w:eastAsia="仿宋_GB2312"/>
          <w:sz w:val="28"/>
          <w:szCs w:val="28"/>
          <w:lang w:val="en-US" w:eastAsia="zh-CN"/>
        </w:rPr>
        <w:t>441.34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2024年度决算518.60万元。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117.5%。</w:t>
      </w:r>
      <w:r>
        <w:rPr>
          <w:rFonts w:hint="eastAsia" w:ascii="仿宋_GB2312" w:eastAsia="仿宋_GB2312"/>
          <w:sz w:val="28"/>
          <w:szCs w:val="28"/>
        </w:rPr>
        <w:t>主要原因：社保基数调整导致增长。</w:t>
      </w:r>
    </w:p>
    <w:p w14:paraId="1BEF9124">
      <w:pPr>
        <w:spacing w:line="580" w:lineRule="exact"/>
        <w:ind w:firstLine="560" w:firstLineChars="200"/>
        <w:rPr>
          <w:rFonts w:hint="default" w:ascii="仿宋_GB2312" w:eastAsia="仿宋_GB2312"/>
          <w:sz w:val="28"/>
          <w:szCs w:val="28"/>
          <w:lang w:val="en-US"/>
        </w:rPr>
      </w:pPr>
      <w:r>
        <w:rPr>
          <w:rFonts w:hint="eastAsia" w:ascii="仿宋_GB2312" w:eastAsia="仿宋_GB2312"/>
          <w:sz w:val="28"/>
          <w:szCs w:val="28"/>
        </w:rPr>
        <w:t>3、“210卫生健康支出”(类)2024年年初预算</w:t>
      </w:r>
      <w:r>
        <w:rPr>
          <w:rFonts w:hint="eastAsia" w:ascii="仿宋_GB2312" w:eastAsia="仿宋_GB2312"/>
          <w:sz w:val="28"/>
          <w:szCs w:val="28"/>
          <w:lang w:val="en-US" w:eastAsia="zh-CN"/>
        </w:rPr>
        <w:t>274.08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2024年度决算305.65万元。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111.5%</w:t>
      </w:r>
    </w:p>
    <w:p w14:paraId="1FF97B4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364EAD8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“21011行政事业单位医疗”2024年年初预算</w:t>
      </w:r>
      <w:r>
        <w:rPr>
          <w:rFonts w:hint="eastAsia" w:ascii="仿宋_GB2312" w:eastAsia="仿宋_GB2312"/>
          <w:sz w:val="28"/>
          <w:szCs w:val="28"/>
          <w:lang w:val="en-US" w:eastAsia="zh-CN"/>
        </w:rPr>
        <w:t>274.08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2024年度决算305.65万元。主要原因：社保基数调整导致增长。</w:t>
      </w:r>
    </w:p>
    <w:p w14:paraId="1475902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“211节能环保支出” (类)2024年年初预算</w:t>
      </w:r>
      <w:r>
        <w:rPr>
          <w:rFonts w:hint="eastAsia" w:ascii="仿宋_GB2312" w:eastAsia="仿宋_GB2312"/>
          <w:sz w:val="28"/>
          <w:szCs w:val="28"/>
          <w:lang w:val="en-US" w:eastAsia="zh-CN"/>
        </w:rPr>
        <w:t>300元，</w:t>
      </w:r>
      <w:r>
        <w:rPr>
          <w:rFonts w:hint="eastAsia" w:ascii="仿宋_GB2312" w:eastAsia="仿宋_GB2312"/>
          <w:sz w:val="28"/>
          <w:szCs w:val="28"/>
        </w:rPr>
        <w:t>2024年年度决算300万元。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主要原因：本年新增碳中和项目。</w:t>
      </w:r>
    </w:p>
    <w:p w14:paraId="6BB45F5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“21103污染防治支出” 2024年年初预算</w:t>
      </w:r>
      <w:r>
        <w:rPr>
          <w:rFonts w:hint="eastAsia" w:ascii="仿宋_GB2312" w:eastAsia="仿宋_GB2312"/>
          <w:sz w:val="28"/>
          <w:szCs w:val="28"/>
          <w:lang w:val="en-US" w:eastAsia="zh-CN"/>
        </w:rPr>
        <w:t>300元，</w:t>
      </w:r>
      <w:r>
        <w:rPr>
          <w:rFonts w:hint="eastAsia" w:ascii="仿宋_GB2312" w:eastAsia="仿宋_GB2312"/>
          <w:sz w:val="28"/>
          <w:szCs w:val="28"/>
        </w:rPr>
        <w:t>2024年年度决算300万元。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。主要原因：本年新增碳中和项目。</w:t>
      </w:r>
    </w:p>
    <w:p w14:paraId="2D98F76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4、“212住房保障支出”(类)2024年年初预算增加344.13万元</w:t>
      </w:r>
      <w:r>
        <w:rPr>
          <w:rFonts w:hint="eastAsia" w:ascii="仿宋_GB2312" w:eastAsia="仿宋_GB2312"/>
          <w:sz w:val="28"/>
          <w:szCs w:val="28"/>
          <w:lang w:eastAsia="zh-CN"/>
        </w:rPr>
        <w:t>，</w:t>
      </w:r>
      <w:r>
        <w:rPr>
          <w:rFonts w:hint="eastAsia" w:ascii="仿宋_GB2312" w:eastAsia="仿宋_GB2312"/>
          <w:sz w:val="28"/>
          <w:szCs w:val="28"/>
        </w:rPr>
        <w:t>2024年度决算344.13万元，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2D8EC46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2382E20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“22102住房改革支出”（款）2024年年初预算增加344.13万元</w:t>
      </w:r>
      <w:r>
        <w:rPr>
          <w:rFonts w:hint="eastAsia" w:ascii="仿宋_GB2312" w:eastAsia="仿宋_GB2312"/>
          <w:sz w:val="28"/>
          <w:szCs w:val="28"/>
          <w:lang w:eastAsia="zh-CN"/>
        </w:rPr>
        <w:t>，</w:t>
      </w:r>
      <w:r>
        <w:rPr>
          <w:rFonts w:hint="eastAsia" w:ascii="仿宋_GB2312" w:eastAsia="仿宋_GB2312"/>
          <w:sz w:val="28"/>
          <w:szCs w:val="28"/>
        </w:rPr>
        <w:t>2024年度决算344.13万元，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。主要原因：补发以前年度住房补贴</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1E7D38D">
      <w:pPr>
        <w:spacing w:line="560" w:lineRule="exact"/>
        <w:ind w:firstLine="420" w:firstLineChars="150"/>
        <w:rPr>
          <w:rFonts w:ascii="仿宋_GB2312" w:eastAsia="仿宋_GB2312"/>
          <w:sz w:val="28"/>
          <w:szCs w:val="28"/>
        </w:rPr>
      </w:pPr>
      <w:r>
        <w:rPr>
          <w:rFonts w:hint="eastAsia" w:ascii="仿宋_GB2312" w:eastAsia="仿宋_GB2312"/>
          <w:sz w:val="28"/>
          <w:szCs w:val="28"/>
        </w:rPr>
        <w:t>2024年度本单位无政府性基金预算财政拨款安排的支出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4322.14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color w:val="auto"/>
          <w:spacing w:val="40"/>
          <w:sz w:val="32"/>
          <w:szCs w:val="32"/>
        </w:rPr>
      </w:pPr>
      <w:r>
        <w:rPr>
          <w:rFonts w:ascii="仿宋_GB2312" w:eastAsia="仿宋_GB2312"/>
          <w:b/>
          <w:color w:val="auto"/>
          <w:sz w:val="32"/>
          <w:szCs w:val="32"/>
        </w:rPr>
        <w:tab/>
      </w:r>
    </w:p>
    <w:p w14:paraId="382915DA">
      <w:pPr>
        <w:tabs>
          <w:tab w:val="center" w:pos="6979"/>
        </w:tabs>
        <w:jc w:val="center"/>
        <w:rPr>
          <w:rFonts w:hint="eastAsia" w:ascii="宋体" w:hAnsi="宋体" w:cs="宋体"/>
          <w:b/>
          <w:color w:val="auto"/>
          <w:spacing w:val="40"/>
          <w:kern w:val="0"/>
          <w:sz w:val="32"/>
          <w:szCs w:val="32"/>
        </w:rPr>
      </w:pPr>
      <w:r>
        <w:rPr>
          <w:rFonts w:hint="eastAsia" w:ascii="宋体" w:hAnsi="宋体" w:cs="宋体"/>
          <w:b/>
          <w:bCs/>
          <w:color w:val="auto"/>
          <w:spacing w:val="40"/>
          <w:kern w:val="0"/>
          <w:sz w:val="32"/>
          <w:szCs w:val="32"/>
        </w:rPr>
        <w:t>第三部分</w:t>
      </w:r>
      <w:r>
        <w:rPr>
          <w:rFonts w:hint="eastAsia" w:ascii="宋体" w:hAnsi="宋体"/>
          <w:b/>
          <w:color w:val="auto"/>
          <w:spacing w:val="40"/>
          <w:sz w:val="32"/>
          <w:szCs w:val="32"/>
        </w:rPr>
        <w:t>202</w:t>
      </w:r>
      <w:r>
        <w:rPr>
          <w:rFonts w:hint="eastAsia" w:ascii="宋体" w:hAnsi="宋体"/>
          <w:b/>
          <w:color w:val="auto"/>
          <w:spacing w:val="40"/>
          <w:sz w:val="32"/>
          <w:szCs w:val="32"/>
          <w:lang w:val="en-US" w:eastAsia="zh-CN"/>
        </w:rPr>
        <w:t>4</w:t>
      </w:r>
      <w:r>
        <w:rPr>
          <w:rFonts w:hint="eastAsia" w:ascii="宋体" w:hAnsi="宋体"/>
          <w:b/>
          <w:color w:val="auto"/>
          <w:spacing w:val="40"/>
          <w:sz w:val="32"/>
          <w:szCs w:val="32"/>
        </w:rPr>
        <w:t>年度</w:t>
      </w:r>
      <w:r>
        <w:rPr>
          <w:rFonts w:hint="eastAsia" w:ascii="宋体" w:hAnsi="宋体" w:cs="宋体"/>
          <w:b/>
          <w:color w:val="auto"/>
          <w:spacing w:val="40"/>
          <w:kern w:val="0"/>
          <w:sz w:val="32"/>
          <w:szCs w:val="32"/>
        </w:rPr>
        <w:t>其他重要事项的情况说明</w:t>
      </w:r>
    </w:p>
    <w:p w14:paraId="0EEECE74">
      <w:pPr>
        <w:spacing w:line="560" w:lineRule="exact"/>
        <w:ind w:firstLine="560" w:firstLineChars="200"/>
        <w:rPr>
          <w:rFonts w:hint="eastAsia" w:ascii="仿宋_GB2312" w:eastAsia="仿宋_GB2312"/>
          <w:color w:val="auto"/>
          <w:sz w:val="28"/>
          <w:szCs w:val="28"/>
          <w:lang w:eastAsia="zh-CN"/>
        </w:rPr>
      </w:pPr>
      <w:r>
        <w:rPr>
          <w:rFonts w:hint="eastAsia" w:ascii="黑体" w:eastAsia="黑体"/>
          <w:color w:val="auto"/>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万元增加</w:t>
      </w:r>
      <w:r>
        <w:rPr>
          <w:rFonts w:hint="eastAsia" w:ascii="仿宋_GB2312" w:eastAsia="仿宋_GB2312"/>
          <w:sz w:val="28"/>
          <w:szCs w:val="28"/>
          <w:lang w:val="en-US" w:eastAsia="zh-CN"/>
        </w:rPr>
        <w:t>0.7</w:t>
      </w:r>
      <w:r>
        <w:rPr>
          <w:rFonts w:hint="eastAsia" w:ascii="仿宋_GB2312" w:eastAsia="仿宋_GB2312"/>
          <w:sz w:val="28"/>
          <w:szCs w:val="28"/>
        </w:rPr>
        <w:t>万元。其中：</w:t>
      </w:r>
    </w:p>
    <w:p w14:paraId="41BEB7A9">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万元。主要原因：因公出国(境)费用根据年度出国审批情况作为追加项目管理，单位不做年初预算，本年也没有出国审批项目发生。2024 年度因公出国(境)费用主要用于出国的会议、培训等事项，2024年度组织因公出国(境)团组0个、0人次，人均因公出国(境)费用0万元。</w:t>
      </w:r>
    </w:p>
    <w:p w14:paraId="312FDAB1">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万元。主要原因：无接待事项发生。202</w:t>
      </w:r>
      <w:r>
        <w:rPr>
          <w:rFonts w:hint="eastAsia" w:ascii="仿宋_GB2312" w:eastAsia="仿宋_GB2312"/>
          <w:sz w:val="28"/>
          <w:szCs w:val="28"/>
          <w:lang w:val="en-US" w:eastAsia="zh-CN"/>
        </w:rPr>
        <w:t>4</w:t>
      </w:r>
      <w:r>
        <w:rPr>
          <w:rFonts w:hint="eastAsia" w:ascii="仿宋_GB2312" w:eastAsia="仿宋_GB2312"/>
          <w:sz w:val="28"/>
          <w:szCs w:val="28"/>
        </w:rPr>
        <w:t>年度公务接待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万元，主要原因：本年度无新购车辆，202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w:t>
      </w:r>
      <w:r>
        <w:rPr>
          <w:rFonts w:hint="eastAsia" w:ascii="仿宋_GB2312" w:eastAsia="仿宋_GB2312"/>
          <w:sz w:val="28"/>
          <w:szCs w:val="28"/>
        </w:rPr>
        <w:t>万元，主要原因：原因是严格落实公务用车使用规定，认真贯彻厉行节约反对浪费的有关要求，本着节俭高效的原则,进一步加强公务用车管理,减少费用支出。202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tabs>
          <w:tab w:val="center" w:pos="6979"/>
        </w:tabs>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原因：本单位不在机关运行经费统计范围之内</w:t>
      </w:r>
      <w:r>
        <w:rPr>
          <w:rFonts w:hint="eastAsia" w:ascii="仿宋_GB2312" w:eastAsia="仿宋_GB2312"/>
          <w:sz w:val="28"/>
          <w:szCs w:val="28"/>
          <w:lang w:eastAsia="zh-CN"/>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233.41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1.54</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万元，政府采购服务支出231.87万元。授予中小企业合同金额</w:t>
      </w:r>
      <w:r>
        <w:rPr>
          <w:rFonts w:ascii="仿宋_GB2312" w:eastAsia="仿宋_GB2312"/>
          <w:sz w:val="28"/>
          <w:szCs w:val="28"/>
        </w:rPr>
        <w:t>232.31</w:t>
      </w:r>
      <w:r>
        <w:rPr>
          <w:rFonts w:hint="eastAsia" w:ascii="仿宋_GB2312" w:eastAsia="仿宋_GB2312"/>
          <w:sz w:val="28"/>
          <w:szCs w:val="28"/>
        </w:rPr>
        <w:t>万元，占政府采购支出总额的</w:t>
      </w:r>
      <w:r>
        <w:rPr>
          <w:rFonts w:hint="eastAsia" w:ascii="仿宋_GB2312" w:eastAsia="仿宋_GB2312"/>
          <w:sz w:val="28"/>
          <w:szCs w:val="28"/>
          <w:lang w:eastAsia="zh-CN"/>
        </w:rPr>
        <w:t>99.53</w:t>
      </w:r>
      <w:r>
        <w:rPr>
          <w:rFonts w:hint="eastAsia" w:ascii="仿宋_GB2312" w:eastAsia="仿宋_GB2312"/>
          <w:sz w:val="28"/>
          <w:szCs w:val="28"/>
        </w:rPr>
        <w:t>%，其中：授予小微企业合同金额</w:t>
      </w:r>
      <w:r>
        <w:rPr>
          <w:rFonts w:ascii="仿宋_GB2312" w:eastAsia="仿宋_GB2312"/>
          <w:sz w:val="28"/>
          <w:szCs w:val="28"/>
        </w:rPr>
        <w:t>231.54</w:t>
      </w:r>
      <w:r>
        <w:rPr>
          <w:rFonts w:hint="eastAsia" w:ascii="仿宋_GB2312" w:eastAsia="仿宋_GB2312"/>
          <w:sz w:val="28"/>
          <w:szCs w:val="28"/>
        </w:rPr>
        <w:t>万元，占政府采购支出总额的</w:t>
      </w:r>
      <w:r>
        <w:rPr>
          <w:rFonts w:ascii="仿宋_GB2312" w:eastAsia="仿宋_GB2312"/>
          <w:sz w:val="28"/>
          <w:szCs w:val="28"/>
        </w:rPr>
        <w:t>99.2</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12月31日，北京市大兴区第八小学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46E8877">
      <w:pPr>
        <w:ind w:firstLine="420" w:firstLineChars="15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EE40B34">
      <w:pPr>
        <w:ind w:firstLine="420" w:firstLineChars="15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68B775F">
      <w:pPr>
        <w:ind w:firstLine="420" w:firstLineChars="15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D93B565">
      <w:pPr>
        <w:ind w:firstLine="420" w:firstLineChars="150"/>
        <w:rPr>
          <w:rFonts w:hint="eastAsia" w:ascii="仿宋_GB2312" w:eastAsia="仿宋_GB2312"/>
          <w:sz w:val="28"/>
          <w:szCs w:val="28"/>
        </w:rPr>
      </w:pPr>
      <w:r>
        <w:rPr>
          <w:rFonts w:hint="eastAsia" w:ascii="仿宋_GB2312" w:eastAsia="仿宋_GB2312"/>
          <w:sz w:val="28"/>
          <w:szCs w:val="28"/>
        </w:rPr>
        <w:t xml:space="preserve">  4.政府采购：指各级国家机关、事业单位和团体组织，使用财政性资金采购依法制定的集中目录以内的或者采购限额标准以上的货物、工程和服务的行为，是规范财政支出管理和强化预算约束的有效措施。</w:t>
      </w:r>
    </w:p>
    <w:p w14:paraId="5B4A773F">
      <w:pPr>
        <w:ind w:firstLine="420" w:firstLineChars="150"/>
        <w:rPr>
          <w:rFonts w:hint="eastAsia" w:ascii="仿宋_GB2312" w:eastAsia="仿宋_GB2312"/>
          <w:sz w:val="28"/>
          <w:szCs w:val="28"/>
        </w:rPr>
      </w:pPr>
      <w:r>
        <w:rPr>
          <w:rFonts w:hint="eastAsia" w:ascii="仿宋_GB2312" w:eastAsia="仿宋_GB2312"/>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7ECA308">
      <w:pPr>
        <w:ind w:firstLine="420" w:firstLineChars="150"/>
        <w:rPr>
          <w:rFonts w:hint="eastAsia" w:ascii="仿宋_GB2312" w:eastAsia="仿宋_GB2312"/>
          <w:sz w:val="28"/>
          <w:szCs w:val="28"/>
        </w:rPr>
      </w:pPr>
      <w:r>
        <w:rPr>
          <w:rFonts w:hint="eastAsia" w:ascii="仿宋_GB2312" w:eastAsia="仿宋_GB2312"/>
          <w:sz w:val="28"/>
          <w:szCs w:val="28"/>
        </w:rPr>
        <w:t>6.教育支出（类）普通教育（款）小学教育（项）：反映各部门举办的小学教育支出。政府各部门对社会组织等举办的小学的资助，如捐赠、补贴等，也在本科目中反映。</w:t>
      </w:r>
    </w:p>
    <w:p w14:paraId="1D29CD2B">
      <w:pPr>
        <w:ind w:firstLine="420" w:firstLineChars="150"/>
        <w:rPr>
          <w:rFonts w:hint="eastAsia" w:ascii="仿宋_GB2312" w:eastAsia="仿宋_GB2312"/>
          <w:sz w:val="28"/>
          <w:szCs w:val="28"/>
        </w:rPr>
      </w:pPr>
      <w:r>
        <w:rPr>
          <w:rFonts w:hint="eastAsia" w:ascii="仿宋_GB2312" w:eastAsia="仿宋_GB2312"/>
          <w:sz w:val="28"/>
          <w:szCs w:val="28"/>
        </w:rPr>
        <w:t>7.社会保障和就业支出（类）行政事业单位养老支出（款）机关事业单位基本养老保险缴费支出（项）：反映机关事业单位实施养老保险制度由单位缴纳的基本养老保险支出。</w:t>
      </w:r>
    </w:p>
    <w:p w14:paraId="1C9DDDAA">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8.社会保障和就业支出（类）行政事业单位养老支出（款）机关事业单位职业年金缴费支出（项）：反映机关事业单位实施养老保险制度由单位实际缴纳的职业年金支出。</w:t>
      </w:r>
    </w:p>
    <w:p w14:paraId="6C2D414F">
      <w:pPr>
        <w:ind w:firstLine="420" w:firstLineChars="150"/>
        <w:rPr>
          <w:rFonts w:hint="eastAsia" w:ascii="仿宋_GB2312" w:eastAsia="仿宋_GB2312"/>
          <w:sz w:val="28"/>
          <w:szCs w:val="28"/>
        </w:rPr>
      </w:pPr>
      <w:r>
        <w:rPr>
          <w:rFonts w:hint="eastAsia" w:ascii="仿宋_GB2312" w:eastAsia="仿宋_GB2312"/>
          <w:sz w:val="28"/>
          <w:szCs w:val="28"/>
        </w:rPr>
        <w:t>19.卫生健康支出（类）行政事业单位医疗（款）事业单位医疗（项）：反映财政部门安排的事业单位基本医疗保险缴费经费，未参加医疗保险的事业单位的公费医疗经费，按国家规定享受离休人员待遇的医疗经费。</w:t>
      </w:r>
    </w:p>
    <w:p w14:paraId="5D6EFBAB">
      <w:pPr>
        <w:ind w:firstLine="420" w:firstLineChars="150"/>
        <w:rPr>
          <w:rFonts w:hint="eastAsia" w:ascii="仿宋_GB2312" w:eastAsia="仿宋_GB2312"/>
          <w:sz w:val="28"/>
          <w:szCs w:val="28"/>
        </w:rPr>
      </w:pPr>
      <w:r>
        <w:rPr>
          <w:rFonts w:hint="eastAsia" w:ascii="仿宋_GB2312" w:eastAsia="仿宋_GB2312"/>
          <w:sz w:val="28"/>
          <w:szCs w:val="28"/>
        </w:rPr>
        <w:t>10.卫生健康支出（类）行政事业单位医疗（款）公务员医疗补助（项）：反映财政部门安排的公务员医疗补助经费。</w:t>
      </w:r>
    </w:p>
    <w:p w14:paraId="0381F9F6">
      <w:pPr>
        <w:ind w:firstLine="420" w:firstLineChars="150"/>
        <w:rPr>
          <w:rFonts w:hint="eastAsia" w:ascii="仿宋_GB2312" w:eastAsia="仿宋_GB2312"/>
          <w:sz w:val="28"/>
          <w:szCs w:val="28"/>
        </w:rPr>
      </w:pPr>
      <w:r>
        <w:rPr>
          <w:rFonts w:hint="eastAsia" w:ascii="仿宋_GB2312" w:eastAsia="仿宋_GB2312"/>
          <w:sz w:val="28"/>
          <w:szCs w:val="28"/>
        </w:rPr>
        <w:t>11.城乡社区支出（类）其他城乡社区支出（款）其他城乡社区支出（项）：反映除上述项目以外其他用于城乡社区方面的支出。</w:t>
      </w: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F5F56EC">
      <w:pPr>
        <w:pStyle w:val="2"/>
        <w:rPr>
          <w:rFonts w:hint="eastAsia" w:ascii="黑体" w:eastAsia="黑体"/>
          <w:sz w:val="32"/>
          <w:szCs w:val="32"/>
        </w:rPr>
      </w:pPr>
    </w:p>
    <w:p w14:paraId="77A1272E">
      <w:pPr>
        <w:rPr>
          <w:rFonts w:hint="eastAsia" w:ascii="黑体" w:eastAsia="黑体"/>
          <w:sz w:val="32"/>
          <w:szCs w:val="32"/>
        </w:rPr>
      </w:pPr>
    </w:p>
    <w:p w14:paraId="3A6F420F">
      <w:pPr>
        <w:pStyle w:val="2"/>
        <w:rPr>
          <w:rFonts w:hint="eastAsia" w:ascii="黑体" w:eastAsia="黑体"/>
          <w:sz w:val="32"/>
          <w:szCs w:val="32"/>
        </w:rPr>
      </w:pPr>
    </w:p>
    <w:p w14:paraId="620074BE">
      <w:pPr>
        <w:rPr>
          <w:rFonts w:hint="eastAsia" w:ascii="黑体" w:eastAsia="黑体"/>
          <w:sz w:val="32"/>
          <w:szCs w:val="32"/>
        </w:rPr>
      </w:pPr>
    </w:p>
    <w:p w14:paraId="113A1C82">
      <w:pPr>
        <w:pStyle w:val="2"/>
        <w:rPr>
          <w:rFonts w:hint="eastAsia"/>
        </w:rPr>
      </w:pPr>
    </w:p>
    <w:p w14:paraId="629AFF4C">
      <w:pPr>
        <w:numPr>
          <w:ilvl w:val="0"/>
          <w:numId w:val="2"/>
        </w:numPr>
        <w:ind w:firstLine="640" w:firstLineChars="200"/>
        <w:jc w:val="center"/>
        <w:rPr>
          <w:rFonts w:hint="eastAsia" w:ascii="黑体" w:eastAsia="黑体"/>
          <w:sz w:val="32"/>
          <w:szCs w:val="32"/>
        </w:rPr>
      </w:pPr>
      <w:r>
        <w:rPr>
          <w:rFonts w:hint="eastAsia" w:ascii="黑体" w:eastAsia="黑体"/>
          <w:sz w:val="32"/>
          <w:szCs w:val="32"/>
        </w:rPr>
        <w:t xml:space="preserve"> 202</w:t>
      </w:r>
      <w:r>
        <w:rPr>
          <w:rFonts w:hint="eastAsia" w:ascii="黑体" w:eastAsia="黑体"/>
          <w:sz w:val="32"/>
          <w:szCs w:val="32"/>
          <w:lang w:val="en-US" w:eastAsia="zh-CN"/>
        </w:rPr>
        <w:t>4</w:t>
      </w:r>
      <w:r>
        <w:rPr>
          <w:rFonts w:hint="eastAsia" w:ascii="黑体" w:eastAsia="黑体"/>
          <w:sz w:val="32"/>
          <w:szCs w:val="32"/>
        </w:rPr>
        <w:t>年度部门绩效评价情况</w:t>
      </w:r>
    </w:p>
    <w:p w14:paraId="31B33C77">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14:paraId="2B5D8787">
      <w:pPr>
        <w:pStyle w:val="2"/>
        <w:numPr>
          <w:ilvl w:val="0"/>
          <w:numId w:val="0"/>
        </w:numPr>
        <w:jc w:val="center"/>
        <w:rPr>
          <w:rFonts w:hint="eastAsia"/>
        </w:rPr>
      </w:pPr>
    </w:p>
    <w:p w14:paraId="7FB71479">
      <w:pPr>
        <w:ind w:firstLine="560" w:firstLineChars="200"/>
        <w:rPr>
          <w:rFonts w:hint="eastAsia" w:ascii="黑体" w:eastAsia="黑体"/>
          <w:sz w:val="28"/>
          <w:szCs w:val="28"/>
          <w:highlight w:val="yellow"/>
        </w:rPr>
      </w:pPr>
    </w:p>
    <w:p w14:paraId="1EBD1B9F">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36F110"/>
    <w:multiLevelType w:val="singleLevel"/>
    <w:tmpl w:val="C136F110"/>
    <w:lvl w:ilvl="0" w:tentative="0">
      <w:start w:val="4"/>
      <w:numFmt w:val="chineseCounting"/>
      <w:suff w:val="space"/>
      <w:lvlText w:val="第%1部分"/>
      <w:lvlJc w:val="left"/>
      <w:rPr>
        <w:rFonts w:hint="eastAsia"/>
      </w:rPr>
    </w:lvl>
  </w:abstractNum>
  <w:abstractNum w:abstractNumId="1">
    <w:nsid w:val="DDB72067"/>
    <w:multiLevelType w:val="singleLevel"/>
    <w:tmpl w:val="DDB72067"/>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504005"/>
    <w:rsid w:val="04C3537C"/>
    <w:rsid w:val="079004AC"/>
    <w:rsid w:val="0BA148CA"/>
    <w:rsid w:val="0C1165C4"/>
    <w:rsid w:val="0C4812C6"/>
    <w:rsid w:val="0CBD63A0"/>
    <w:rsid w:val="0D6D544B"/>
    <w:rsid w:val="0DD136FE"/>
    <w:rsid w:val="0F542F2C"/>
    <w:rsid w:val="0F8E2C57"/>
    <w:rsid w:val="1059665E"/>
    <w:rsid w:val="10AC13BA"/>
    <w:rsid w:val="1396715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5596713"/>
    <w:rsid w:val="46070934"/>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57E2490"/>
    <w:rsid w:val="66903B07"/>
    <w:rsid w:val="674D385B"/>
    <w:rsid w:val="676F09E1"/>
    <w:rsid w:val="6B21130D"/>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E7450BB"/>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4776.63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4322.14</c:v>
                </c:pt>
                <c:pt idx="1">
                  <c:v>798.62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3777</Words>
  <Characters>4322</Characters>
  <Lines>44</Lines>
  <Paragraphs>12</Paragraphs>
  <TotalTime>5</TotalTime>
  <ScaleCrop>false</ScaleCrop>
  <LinksUpToDate>false</LinksUpToDate>
  <CharactersWithSpaces>4346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Lwg</cp:lastModifiedBy>
  <cp:lastPrinted>2020-08-09T03:39:00Z</cp:lastPrinted>
  <dcterms:modified xsi:type="dcterms:W3CDTF">2025-09-24T07:46:21Z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eyJoZGlkIjoiZjk3NmNhODEzYjQwOTg4YTg0MTFhZmI3MzljNWQ3YTMiLCJ1c2VySWQiOiI4NTMxNzYyMDAifQ==</vt:lpwstr>
  </property>
</Properties>
</file>