
<file path=[Content_Types].xml><?xml version="1.0" encoding="utf-8"?>
<Types xmlns="http://schemas.openxmlformats.org/package/2006/content-types">
  <Default Extension="xlsx" ContentType="application/vnd.openxmlformats-officedocument.spreadsheetml.shee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8FD667">
      <w:pPr>
        <w:jc w:val="center"/>
        <w:rPr>
          <w:rFonts w:ascii="仿宋_GB2312" w:eastAsia="仿宋_GB2312"/>
          <w:b/>
          <w:sz w:val="32"/>
          <w:szCs w:val="32"/>
        </w:rPr>
      </w:pPr>
    </w:p>
    <w:p w14:paraId="576351E2">
      <w:pPr>
        <w:jc w:val="center"/>
        <w:rPr>
          <w:rFonts w:ascii="黑体" w:eastAsia="黑体"/>
          <w:sz w:val="72"/>
          <w:szCs w:val="72"/>
        </w:rPr>
      </w:pPr>
    </w:p>
    <w:p w14:paraId="67A07B9E">
      <w:pPr>
        <w:jc w:val="center"/>
        <w:rPr>
          <w:rFonts w:ascii="黑体" w:eastAsia="黑体"/>
          <w:sz w:val="72"/>
          <w:szCs w:val="72"/>
        </w:rPr>
      </w:pPr>
    </w:p>
    <w:p w14:paraId="0632B0CA">
      <w:pPr>
        <w:jc w:val="center"/>
        <w:rPr>
          <w:rFonts w:ascii="黑体" w:eastAsia="黑体"/>
          <w:sz w:val="72"/>
          <w:szCs w:val="72"/>
        </w:rPr>
      </w:pPr>
    </w:p>
    <w:p w14:paraId="6DC7FDD8">
      <w:pPr>
        <w:jc w:val="center"/>
        <w:rPr>
          <w:rFonts w:ascii="黑体" w:eastAsia="黑体"/>
          <w:sz w:val="72"/>
          <w:szCs w:val="72"/>
        </w:rPr>
      </w:pPr>
    </w:p>
    <w:p w14:paraId="1B7B5D98">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14:paraId="7D3D36BE">
      <w:pPr>
        <w:jc w:val="center"/>
        <w:rPr>
          <w:rFonts w:ascii="黑体" w:eastAsia="黑体"/>
          <w:sz w:val="52"/>
          <w:szCs w:val="52"/>
        </w:rPr>
      </w:pPr>
    </w:p>
    <w:p w14:paraId="2C8A8596">
      <w:pPr>
        <w:jc w:val="center"/>
        <w:rPr>
          <w:rFonts w:ascii="黑体" w:eastAsia="黑体"/>
          <w:sz w:val="52"/>
          <w:szCs w:val="52"/>
        </w:rPr>
      </w:pPr>
    </w:p>
    <w:p w14:paraId="3A5E4E35">
      <w:pPr>
        <w:jc w:val="center"/>
        <w:rPr>
          <w:rFonts w:ascii="黑体" w:eastAsia="黑体"/>
          <w:sz w:val="52"/>
          <w:szCs w:val="52"/>
        </w:rPr>
      </w:pPr>
    </w:p>
    <w:p w14:paraId="124919CA">
      <w:pPr>
        <w:jc w:val="center"/>
        <w:rPr>
          <w:rFonts w:ascii="黑体" w:eastAsia="黑体"/>
          <w:sz w:val="52"/>
          <w:szCs w:val="52"/>
        </w:rPr>
      </w:pPr>
    </w:p>
    <w:p w14:paraId="5EA60475">
      <w:pPr>
        <w:jc w:val="center"/>
        <w:rPr>
          <w:rFonts w:ascii="黑体" w:eastAsia="黑体"/>
          <w:sz w:val="32"/>
          <w:szCs w:val="32"/>
        </w:rPr>
      </w:pPr>
    </w:p>
    <w:p w14:paraId="6BC5488B">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14:paraId="61A82A08">
      <w:pPr>
        <w:spacing w:line="500" w:lineRule="exact"/>
        <w:ind w:firstLine="645"/>
        <w:jc w:val="center"/>
        <w:rPr>
          <w:rFonts w:hint="eastAsia" w:ascii="宋体" w:hAnsi="宋体" w:cs="宋体"/>
          <w:b/>
          <w:bCs/>
          <w:kern w:val="0"/>
          <w:sz w:val="36"/>
          <w:szCs w:val="36"/>
        </w:rPr>
      </w:pPr>
    </w:p>
    <w:p w14:paraId="2DDD694A">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14:paraId="1506F929">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14:paraId="182811EB">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14:paraId="667E7284">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14:paraId="12E7B6FB">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14:paraId="5DEB2C83">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14:paraId="64712304">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14:paraId="4638F0CD">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14:paraId="3C1E72DD">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14:paraId="37405167">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14:paraId="602DD89E">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14:paraId="2FBB68D5">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14:paraId="327A11A6">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14:paraId="0131333F">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14:paraId="2446FA7A">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14:paraId="63B4F587">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14:paraId="759FABFB">
      <w:pPr>
        <w:tabs>
          <w:tab w:val="center" w:pos="6979"/>
        </w:tabs>
        <w:spacing w:before="156" w:beforeLines="50" w:after="156" w:afterLines="50"/>
        <w:jc w:val="center"/>
        <w:rPr>
          <w:rFonts w:ascii="宋体" w:hAnsi="宋体" w:cs="宋体"/>
          <w:b/>
          <w:bCs/>
          <w:spacing w:val="40"/>
          <w:kern w:val="0"/>
          <w:sz w:val="32"/>
          <w:szCs w:val="32"/>
        </w:rPr>
      </w:pPr>
    </w:p>
    <w:p w14:paraId="07C6242E">
      <w:pPr>
        <w:tabs>
          <w:tab w:val="center" w:pos="6979"/>
        </w:tabs>
        <w:spacing w:before="156" w:beforeLines="50" w:after="156" w:afterLines="50"/>
        <w:jc w:val="center"/>
        <w:rPr>
          <w:rFonts w:ascii="宋体" w:hAnsi="宋体" w:cs="宋体"/>
          <w:b/>
          <w:bCs/>
          <w:spacing w:val="40"/>
          <w:kern w:val="0"/>
          <w:sz w:val="32"/>
          <w:szCs w:val="32"/>
        </w:rPr>
      </w:pPr>
    </w:p>
    <w:p w14:paraId="11C8B0B4">
      <w:pPr>
        <w:tabs>
          <w:tab w:val="center" w:pos="6979"/>
        </w:tabs>
        <w:spacing w:before="156" w:beforeLines="50" w:after="156" w:afterLines="50"/>
        <w:jc w:val="center"/>
        <w:rPr>
          <w:rFonts w:ascii="宋体" w:hAnsi="宋体" w:cs="宋体"/>
          <w:b/>
          <w:bCs/>
          <w:spacing w:val="40"/>
          <w:kern w:val="0"/>
          <w:sz w:val="32"/>
          <w:szCs w:val="32"/>
        </w:rPr>
      </w:pPr>
    </w:p>
    <w:p w14:paraId="3966A746">
      <w:pPr>
        <w:tabs>
          <w:tab w:val="center" w:pos="6979"/>
        </w:tabs>
        <w:spacing w:before="156" w:beforeLines="50" w:after="156" w:afterLines="50"/>
        <w:jc w:val="center"/>
        <w:rPr>
          <w:rFonts w:ascii="宋体" w:hAnsi="宋体" w:cs="宋体"/>
          <w:b/>
          <w:bCs/>
          <w:spacing w:val="40"/>
          <w:kern w:val="0"/>
          <w:sz w:val="32"/>
          <w:szCs w:val="32"/>
        </w:rPr>
      </w:pPr>
    </w:p>
    <w:p w14:paraId="389FA01F">
      <w:pPr>
        <w:tabs>
          <w:tab w:val="center" w:pos="6979"/>
        </w:tabs>
        <w:spacing w:before="156" w:beforeLines="50" w:after="156" w:afterLines="50"/>
        <w:jc w:val="center"/>
        <w:rPr>
          <w:rFonts w:ascii="宋体" w:hAnsi="宋体" w:cs="宋体"/>
          <w:b/>
          <w:bCs/>
          <w:spacing w:val="40"/>
          <w:kern w:val="0"/>
          <w:sz w:val="32"/>
          <w:szCs w:val="32"/>
        </w:rPr>
      </w:pPr>
    </w:p>
    <w:p w14:paraId="4B09241E">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14:paraId="1C10C41C">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14:paraId="033ACC40">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14:paraId="6F4150F6">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一、部门/单位基本情况</w:t>
      </w:r>
    </w:p>
    <w:p w14:paraId="736BF0BE">
      <w:pPr>
        <w:tabs>
          <w:tab w:val="center" w:pos="6979"/>
        </w:tabs>
        <w:spacing w:line="580" w:lineRule="exact"/>
        <w:ind w:firstLine="565" w:firstLineChars="202"/>
        <w:rPr>
          <w:rFonts w:ascii="仿宋_GB2312" w:eastAsia="仿宋_GB2312"/>
          <w:kern w:val="0"/>
          <w:sz w:val="28"/>
          <w:szCs w:val="28"/>
        </w:rPr>
      </w:pPr>
      <w:r>
        <w:rPr>
          <w:rFonts w:hint="eastAsia" w:ascii="仿宋_GB2312" w:eastAsia="仿宋_GB2312"/>
          <w:kern w:val="0"/>
          <w:sz w:val="28"/>
          <w:szCs w:val="28"/>
        </w:rPr>
        <w:t>（一）本单位职责：</w:t>
      </w:r>
    </w:p>
    <w:p w14:paraId="0EFF9692">
      <w:pPr>
        <w:tabs>
          <w:tab w:val="center" w:pos="6979"/>
        </w:tabs>
        <w:spacing w:line="580" w:lineRule="exact"/>
        <w:ind w:firstLine="565" w:firstLineChars="202"/>
        <w:rPr>
          <w:rFonts w:ascii="仿宋_GB2312" w:eastAsia="仿宋_GB2312"/>
          <w:kern w:val="0"/>
          <w:sz w:val="28"/>
          <w:szCs w:val="28"/>
        </w:rPr>
      </w:pPr>
      <w:r>
        <w:rPr>
          <w:rFonts w:hint="eastAsia" w:ascii="仿宋_GB2312" w:eastAsia="仿宋_GB2312"/>
          <w:kern w:val="0"/>
          <w:sz w:val="28"/>
          <w:szCs w:val="28"/>
        </w:rPr>
        <w:t>1.全面贯彻国家教育方针，培养学生的创新精神与实践能力，使之成为社会主义事业的建设者和接班人。</w:t>
      </w:r>
    </w:p>
    <w:p w14:paraId="7E402817">
      <w:pPr>
        <w:tabs>
          <w:tab w:val="center" w:pos="6979"/>
        </w:tabs>
        <w:spacing w:line="580" w:lineRule="exact"/>
        <w:ind w:firstLine="565" w:firstLineChars="202"/>
        <w:rPr>
          <w:rFonts w:ascii="仿宋_GB2312" w:eastAsia="仿宋_GB2312"/>
          <w:kern w:val="0"/>
          <w:sz w:val="28"/>
          <w:szCs w:val="28"/>
        </w:rPr>
      </w:pPr>
      <w:r>
        <w:rPr>
          <w:rFonts w:hint="eastAsia" w:ascii="仿宋_GB2312" w:eastAsia="仿宋_GB2312"/>
          <w:kern w:val="0"/>
          <w:sz w:val="28"/>
          <w:szCs w:val="28"/>
        </w:rPr>
        <w:t>2.本单位主要职责是负责幼儿的保育教育工作。</w:t>
      </w:r>
    </w:p>
    <w:p w14:paraId="7E4EFE60">
      <w:pPr>
        <w:tabs>
          <w:tab w:val="center" w:pos="6979"/>
        </w:tabs>
        <w:spacing w:line="580" w:lineRule="exact"/>
        <w:ind w:firstLine="565" w:firstLineChars="202"/>
        <w:rPr>
          <w:rFonts w:ascii="仿宋_GB2312" w:eastAsia="仿宋_GB2312"/>
          <w:kern w:val="0"/>
          <w:sz w:val="28"/>
          <w:szCs w:val="28"/>
        </w:rPr>
      </w:pPr>
      <w:r>
        <w:rPr>
          <w:rFonts w:hint="eastAsia" w:ascii="仿宋_GB2312" w:eastAsia="仿宋_GB2312"/>
          <w:kern w:val="0"/>
          <w:sz w:val="28"/>
          <w:szCs w:val="28"/>
        </w:rPr>
        <w:t>（二）机构设置情况：</w:t>
      </w:r>
    </w:p>
    <w:p w14:paraId="3781AB2D">
      <w:pPr>
        <w:tabs>
          <w:tab w:val="center" w:pos="6979"/>
        </w:tabs>
        <w:spacing w:line="580" w:lineRule="exact"/>
        <w:ind w:firstLine="565" w:firstLineChars="202"/>
        <w:rPr>
          <w:rFonts w:ascii="仿宋_GB2312" w:eastAsia="仿宋_GB2312"/>
          <w:kern w:val="0"/>
          <w:sz w:val="28"/>
          <w:szCs w:val="28"/>
        </w:rPr>
      </w:pPr>
      <w:r>
        <w:rPr>
          <w:rFonts w:hint="eastAsia" w:ascii="仿宋_GB2312" w:eastAsia="仿宋_GB2312"/>
          <w:kern w:val="0"/>
          <w:sz w:val="28"/>
          <w:szCs w:val="28"/>
        </w:rPr>
        <w:t>内设机构：工会、保教办、科研办、总务处、安保办。</w:t>
      </w:r>
    </w:p>
    <w:p w14:paraId="44CBC380">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14:paraId="7AEE6D8B">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1433.44</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hAnsi="仿宋_GB2312" w:eastAsia="仿宋_GB2312" w:cs="仿宋_GB2312"/>
          <w:bCs/>
          <w:sz w:val="28"/>
          <w:szCs w:val="28"/>
        </w:rPr>
        <w:t>13.33</w:t>
      </w:r>
      <w:r>
        <w:rPr>
          <w:rFonts w:hint="eastAsia" w:ascii="仿宋_GB2312" w:eastAsia="仿宋_GB2312"/>
          <w:sz w:val="28"/>
          <w:szCs w:val="28"/>
        </w:rPr>
        <w:t>万元，增长</w:t>
      </w:r>
      <w:r>
        <w:rPr>
          <w:rFonts w:hint="eastAsia" w:ascii="仿宋_GB2312" w:hAnsi="仿宋_GB2312" w:eastAsia="仿宋_GB2312" w:cs="仿宋_GB2312"/>
          <w:bCs/>
          <w:sz w:val="28"/>
          <w:szCs w:val="28"/>
        </w:rPr>
        <w:t>0.94</w:t>
      </w:r>
      <w:r>
        <w:rPr>
          <w:rFonts w:hint="eastAsia" w:ascii="仿宋_GB2312" w:eastAsia="仿宋_GB2312"/>
          <w:sz w:val="28"/>
          <w:szCs w:val="28"/>
        </w:rPr>
        <w:t>%。</w:t>
      </w:r>
    </w:p>
    <w:p w14:paraId="10DF6111">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14:paraId="7DA26DE3">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1336.48</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减少减少24.23万元，下降1.78%</w:t>
      </w:r>
      <w:r>
        <w:rPr>
          <w:rFonts w:hint="eastAsia" w:ascii="仿宋_GB2312" w:eastAsia="仿宋_GB2312"/>
          <w:sz w:val="28"/>
          <w:szCs w:val="28"/>
          <w:lang w:eastAsia="zh-CN"/>
        </w:rPr>
        <w:t>。</w:t>
      </w:r>
    </w:p>
    <w:p w14:paraId="6FB32ABC">
      <w:pPr>
        <w:numPr>
          <w:ilvl w:val="0"/>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1336.48</w:t>
      </w:r>
      <w:r>
        <w:rPr>
          <w:rFonts w:hint="eastAsia" w:ascii="仿宋_GB2312" w:eastAsia="仿宋_GB2312"/>
          <w:sz w:val="28"/>
          <w:szCs w:val="28"/>
        </w:rPr>
        <w:t>万元，占收入合计的</w:t>
      </w:r>
      <w:r>
        <w:rPr>
          <w:rFonts w:hint="eastAsia" w:ascii="仿宋_GB2312" w:eastAsia="仿宋_GB2312"/>
          <w:sz w:val="28"/>
          <w:szCs w:val="28"/>
          <w:lang w:eastAsia="zh-CN"/>
        </w:rPr>
        <w:t>100%。</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w:t>
      </w:r>
      <w:r>
        <w:rPr>
          <w:rFonts w:ascii="仿宋_GB2312" w:eastAsia="仿宋_GB2312"/>
          <w:sz w:val="28"/>
          <w:szCs w:val="28"/>
        </w:rPr>
        <w:t>1336.48</w:t>
      </w:r>
      <w:r>
        <w:rPr>
          <w:rFonts w:hint="eastAsia" w:ascii="仿宋_GB2312" w:eastAsia="仿宋_GB2312"/>
          <w:sz w:val="28"/>
          <w:szCs w:val="28"/>
        </w:rPr>
        <w:t>万元，占收入合计的</w:t>
      </w:r>
      <w:r>
        <w:rPr>
          <w:rFonts w:hint="eastAsia" w:ascii="仿宋_GB2312" w:eastAsia="仿宋_GB2312"/>
          <w:sz w:val="28"/>
          <w:szCs w:val="28"/>
          <w:lang w:val="en-US" w:eastAsia="zh-CN"/>
        </w:rPr>
        <w:t>100</w:t>
      </w:r>
      <w:r>
        <w:rPr>
          <w:rFonts w:hint="eastAsia" w:ascii="仿宋_GB2312" w:eastAsia="仿宋_GB2312"/>
          <w:sz w:val="28"/>
          <w:szCs w:val="28"/>
          <w:highlight w:val="none"/>
        </w:rPr>
        <w:t>%；</w:t>
      </w:r>
      <w:r>
        <w:rPr>
          <w:rFonts w:hint="eastAsia" w:ascii="仿宋_GB2312" w:eastAsia="仿宋_GB2312"/>
          <w:sz w:val="28"/>
          <w:szCs w:val="28"/>
          <w:lang w:eastAsia="zh-CN"/>
        </w:rPr>
        <w:t>政府性基金预算财政拨款收入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color w:val="auto"/>
          <w:sz w:val="28"/>
          <w:szCs w:val="28"/>
          <w:highlight w:val="none"/>
        </w:rPr>
        <w:t>%</w:t>
      </w:r>
      <w:r>
        <w:rPr>
          <w:rFonts w:hint="eastAsia" w:ascii="仿宋_GB2312" w:eastAsia="仿宋_GB2312"/>
          <w:sz w:val="28"/>
          <w:szCs w:val="28"/>
          <w:highlight w:val="none"/>
        </w:rPr>
        <w:t>；</w:t>
      </w:r>
      <w:r>
        <w:rPr>
          <w:rFonts w:hint="eastAsia" w:ascii="仿宋_GB2312" w:eastAsia="仿宋_GB2312"/>
          <w:sz w:val="28"/>
          <w:szCs w:val="28"/>
          <w:lang w:eastAsia="zh-CN"/>
        </w:rPr>
        <w:t>国有资本经营预算财政拨款收入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sz w:val="28"/>
          <w:szCs w:val="28"/>
          <w:highlight w:val="none"/>
        </w:rPr>
        <w:t>%</w:t>
      </w:r>
      <w:r>
        <w:rPr>
          <w:rFonts w:hint="eastAsia" w:ascii="仿宋_GB2312" w:eastAsia="仿宋_GB2312"/>
          <w:sz w:val="28"/>
          <w:szCs w:val="28"/>
        </w:rPr>
        <w:t>；</w:t>
      </w:r>
    </w:p>
    <w:p w14:paraId="7508F705">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535240F6">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事业收入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66D4D775">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4.经营收入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7E280E44">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5.附属单位上缴收入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5838F5B1">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6.其他收入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1888EA53">
      <w:pPr>
        <w:spacing w:line="560" w:lineRule="exact"/>
        <w:ind w:firstLine="640"/>
        <w:rPr>
          <w:rFonts w:hint="eastAsia" w:ascii="仿宋_GB2312" w:eastAsia="仿宋_GB2312" w:cs="Droid Sans"/>
          <w:color w:val="000000"/>
          <w:sz w:val="32"/>
          <w:szCs w:val="32"/>
          <w:highlight w:val="none"/>
          <w:lang w:eastAsia="zh-CN"/>
        </w:rPr>
      </w:pPr>
      <w:r>
        <w:rPr>
          <w:rFonts w:hint="eastAsia" w:ascii="仿宋_GB2312" w:eastAsia="仿宋_GB2312" w:cs="Droid Sans"/>
          <w:color w:val="000000"/>
          <w:sz w:val="32"/>
          <w:szCs w:val="32"/>
          <w:highlight w:val="none"/>
          <w:lang w:eastAsia="zh-CN"/>
        </w:rPr>
        <w:t>（此处插入图表，用上述</w:t>
      </w:r>
      <w:r>
        <w:rPr>
          <w:rFonts w:hint="eastAsia" w:ascii="仿宋_GB2312" w:eastAsia="仿宋_GB2312" w:cs="Droid Sans"/>
          <w:color w:val="000000"/>
          <w:sz w:val="32"/>
          <w:szCs w:val="32"/>
          <w:highlight w:val="none"/>
          <w:lang w:val="en-US" w:eastAsia="zh-CN"/>
        </w:rPr>
        <w:t>收入</w:t>
      </w:r>
      <w:r>
        <w:rPr>
          <w:rFonts w:hint="eastAsia" w:ascii="仿宋_GB2312" w:eastAsia="仿宋_GB2312" w:cs="Droid Sans"/>
          <w:color w:val="000000"/>
          <w:sz w:val="32"/>
          <w:szCs w:val="32"/>
          <w:highlight w:val="none"/>
          <w:lang w:eastAsia="zh-CN"/>
        </w:rPr>
        <w:t>金额制作饼状图，示例如下，无金额类型不必制图）</w:t>
      </w:r>
    </w:p>
    <w:p w14:paraId="38F622FF">
      <w:pPr>
        <w:pStyle w:val="2"/>
        <w:ind w:firstLine="0"/>
        <w:jc w:val="center"/>
      </w:pPr>
      <w:r>
        <w:rPr>
          <w:rFonts w:hint="eastAsia" w:ascii="仿宋_GB2312" w:eastAsia="仿宋_GB2312"/>
          <w:color w:val="000000"/>
          <w:sz w:val="32"/>
          <w:szCs w:val="32"/>
          <w:highlight w:val="none"/>
          <w:lang w:val="en-US" w:eastAsia="zh-CN"/>
        </w:rPr>
        <w:t>图1：收入决算</w:t>
      </w:r>
    </w:p>
    <w:p w14:paraId="34B9CB57">
      <w:pPr>
        <w:pStyle w:val="3"/>
        <w:ind w:firstLine="420"/>
        <w:jc w:val="cente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07EC5D4A">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14:paraId="40648C89">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1433.44</w:t>
      </w:r>
      <w:r>
        <w:rPr>
          <w:rFonts w:hint="eastAsia" w:ascii="仿宋_GB2312" w:eastAsia="仿宋_GB2312"/>
          <w:sz w:val="28"/>
          <w:szCs w:val="28"/>
        </w:rPr>
        <w:t>万元，</w:t>
      </w:r>
      <w:r>
        <w:rPr>
          <w:rFonts w:ascii="仿宋_GB2312" w:eastAsia="仿宋_GB2312"/>
          <w:sz w:val="28"/>
          <w:szCs w:val="28"/>
        </w:rPr>
        <w:t>比上年</w:t>
      </w:r>
      <w:r>
        <w:rPr>
          <w:rFonts w:hint="eastAsia" w:ascii="仿宋_GB2312" w:hAnsi="仿宋_GB2312" w:eastAsia="仿宋_GB2312" w:cs="仿宋_GB2312"/>
          <w:bCs/>
          <w:sz w:val="28"/>
          <w:szCs w:val="28"/>
        </w:rPr>
        <w:t>增加13.33</w:t>
      </w:r>
      <w:r>
        <w:rPr>
          <w:rFonts w:hint="eastAsia" w:ascii="仿宋_GB2312" w:eastAsia="仿宋_GB2312"/>
          <w:sz w:val="28"/>
          <w:szCs w:val="28"/>
        </w:rPr>
        <w:t>万元，增长</w:t>
      </w:r>
      <w:r>
        <w:rPr>
          <w:rFonts w:hint="eastAsia" w:ascii="仿宋_GB2312" w:hAnsi="仿宋_GB2312" w:eastAsia="仿宋_GB2312" w:cs="仿宋_GB2312"/>
          <w:bCs/>
          <w:sz w:val="28"/>
          <w:szCs w:val="28"/>
        </w:rPr>
        <w:t>0.94</w:t>
      </w:r>
      <w:r>
        <w:rPr>
          <w:rFonts w:hint="eastAsia" w:ascii="仿宋_GB2312" w:eastAsia="仿宋_GB2312"/>
          <w:sz w:val="28"/>
          <w:szCs w:val="28"/>
        </w:rPr>
        <w:t>%，其中：基本支</w:t>
      </w:r>
      <w:r>
        <w:rPr>
          <w:rFonts w:hint="eastAsia" w:ascii="仿宋_GB2312" w:eastAsia="仿宋_GB2312"/>
          <w:sz w:val="28"/>
          <w:szCs w:val="28"/>
          <w:highlight w:val="none"/>
        </w:rPr>
        <w:t>出</w:t>
      </w:r>
      <w:r>
        <w:rPr>
          <w:rFonts w:ascii="仿宋_GB2312" w:eastAsia="仿宋_GB2312"/>
          <w:sz w:val="28"/>
          <w:szCs w:val="28"/>
          <w:highlight w:val="none"/>
        </w:rPr>
        <w:t>1263.7</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88.16</w:t>
      </w:r>
      <w:r>
        <w:rPr>
          <w:rFonts w:hint="eastAsia" w:ascii="仿宋_GB2312" w:eastAsia="仿宋_GB2312"/>
          <w:sz w:val="28"/>
          <w:szCs w:val="28"/>
          <w:highlight w:val="none"/>
        </w:rPr>
        <w:t>%；项目支出</w:t>
      </w:r>
      <w:r>
        <w:rPr>
          <w:rFonts w:ascii="仿宋_GB2312" w:eastAsia="仿宋_GB2312"/>
          <w:sz w:val="28"/>
          <w:szCs w:val="28"/>
          <w:highlight w:val="none"/>
        </w:rPr>
        <w:t>169.74</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11.84</w:t>
      </w:r>
      <w:r>
        <w:rPr>
          <w:rFonts w:hint="eastAsia" w:ascii="仿宋_GB2312" w:eastAsia="仿宋_GB2312"/>
          <w:sz w:val="28"/>
          <w:szCs w:val="28"/>
          <w:highlight w:val="none"/>
        </w:rPr>
        <w:t>%;上缴上级支出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%；经营支出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%；对附属单位补助支出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r>
        <w:rPr>
          <w:rFonts w:hint="eastAsia" w:ascii="仿宋_GB2312" w:eastAsia="仿宋_GB2312"/>
          <w:sz w:val="28"/>
          <w:szCs w:val="28"/>
        </w:rPr>
        <w:t>。</w:t>
      </w:r>
    </w:p>
    <w:p w14:paraId="7A1A0780">
      <w:pPr>
        <w:pStyle w:val="2"/>
        <w:ind w:firstLine="642"/>
        <w:jc w:val="center"/>
        <w:rPr>
          <w:rFonts w:hint="eastAsia" w:ascii="仿宋_GB2312" w:eastAsia="仿宋_GB2312"/>
          <w:color w:val="000000"/>
          <w:sz w:val="32"/>
        </w:rPr>
      </w:pPr>
    </w:p>
    <w:p w14:paraId="2255455D">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14:paraId="25260D32">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22829A96">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14:paraId="648C0E03">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1433.44</w:t>
      </w:r>
      <w:r>
        <w:rPr>
          <w:rFonts w:hint="eastAsia" w:ascii="仿宋_GB2312" w:eastAsia="仿宋_GB2312"/>
          <w:sz w:val="28"/>
          <w:szCs w:val="28"/>
        </w:rPr>
        <w:t>万元，比上年</w:t>
      </w:r>
      <w:r>
        <w:rPr>
          <w:rFonts w:ascii="仿宋_GB2312" w:eastAsia="仿宋_GB2312"/>
          <w:sz w:val="28"/>
          <w:szCs w:val="28"/>
        </w:rPr>
        <w:t>增加</w:t>
      </w:r>
      <w:r>
        <w:rPr>
          <w:rFonts w:hint="eastAsia" w:ascii="仿宋_GB2312" w:hAnsi="仿宋_GB2312" w:eastAsia="仿宋_GB2312" w:cs="仿宋_GB2312"/>
          <w:bCs/>
          <w:sz w:val="28"/>
          <w:szCs w:val="28"/>
        </w:rPr>
        <w:t>增加13.33万元，增长0.94%。</w:t>
      </w:r>
      <w:r>
        <w:rPr>
          <w:rFonts w:hint="eastAsia" w:ascii="仿宋_GB2312" w:eastAsia="仿宋_GB2312"/>
          <w:sz w:val="28"/>
          <w:szCs w:val="28"/>
        </w:rPr>
        <w:t>主要原因：</w:t>
      </w:r>
      <w:r>
        <w:rPr>
          <w:rFonts w:hint="eastAsia" w:ascii="仿宋_GB2312" w:hAnsi="仿宋_GB2312" w:eastAsia="仿宋_GB2312" w:cs="仿宋_GB2312"/>
          <w:bCs/>
          <w:sz w:val="28"/>
          <w:szCs w:val="28"/>
        </w:rPr>
        <w:t>当年退休一人，另外补发以前年度房补</w:t>
      </w:r>
      <w:r>
        <w:rPr>
          <w:rFonts w:hint="eastAsia" w:ascii="仿宋_GB2312" w:eastAsia="仿宋_GB2312"/>
          <w:sz w:val="28"/>
          <w:szCs w:val="28"/>
        </w:rPr>
        <w:t>。</w:t>
      </w:r>
    </w:p>
    <w:p w14:paraId="2440887E">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14:paraId="107F5E59">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14:paraId="7C958D8E">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1433.44万元，主要用于以下方面（按大类）：教育支出1089.07万元，占本年财政拨款支出76%；社会保障和就业支出142.64万元，占本年财政拨款支出10 %；卫生健康支出104.75万元，占本年财政拨款支出7%;住房保障支出96.96万元，占本年财政拨款支出7%。</w:t>
      </w:r>
    </w:p>
    <w:p w14:paraId="38C96F0D">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14:paraId="35B41C35">
      <w:pPr>
        <w:spacing w:line="580" w:lineRule="exact"/>
        <w:ind w:firstLine="560" w:firstLineChars="200"/>
        <w:rPr>
          <w:rFonts w:ascii="仿宋_GB2312" w:eastAsia="仿宋_GB2312"/>
          <w:sz w:val="28"/>
          <w:szCs w:val="28"/>
        </w:rPr>
      </w:pPr>
      <w:r>
        <w:rPr>
          <w:rFonts w:hint="eastAsia" w:ascii="仿宋_GB2312" w:eastAsia="仿宋_GB2312"/>
          <w:sz w:val="28"/>
          <w:szCs w:val="28"/>
        </w:rPr>
        <w:t>1、“教育支出”（类）2024年度决算1089.07万元，比2024年年初预算（1080.30）增加8.7万元，增长 0.8%。其中：</w:t>
      </w:r>
    </w:p>
    <w:p w14:paraId="59AAEBED">
      <w:pPr>
        <w:spacing w:line="580" w:lineRule="exact"/>
        <w:ind w:firstLine="560" w:firstLineChars="200"/>
        <w:rPr>
          <w:rFonts w:ascii="仿宋_GB2312" w:eastAsia="仿宋_GB2312"/>
          <w:sz w:val="28"/>
          <w:szCs w:val="28"/>
        </w:rPr>
      </w:pPr>
      <w:r>
        <w:rPr>
          <w:rFonts w:hint="eastAsia" w:ascii="仿宋_GB2312" w:eastAsia="仿宋_GB2312"/>
          <w:sz w:val="28"/>
          <w:szCs w:val="28"/>
        </w:rPr>
        <w:t>“普通教育”（款）2024年度决算1089.07万元，比2024年年初预算（1080.30）增加8.77 万元，增长 0.8%。</w:t>
      </w:r>
    </w:p>
    <w:p w14:paraId="587438E0">
      <w:pPr>
        <w:tabs>
          <w:tab w:val="center" w:pos="6979"/>
        </w:tabs>
        <w:spacing w:line="580" w:lineRule="exact"/>
        <w:ind w:firstLine="570"/>
        <w:rPr>
          <w:rFonts w:ascii="仿宋_GB2312" w:eastAsia="仿宋_GB2312"/>
          <w:bCs/>
          <w:sz w:val="28"/>
          <w:szCs w:val="28"/>
        </w:rPr>
      </w:pPr>
      <w:r>
        <w:rPr>
          <w:rFonts w:hint="eastAsia" w:ascii="仿宋_GB2312" w:eastAsia="仿宋_GB2312"/>
          <w:bCs/>
          <w:sz w:val="28"/>
          <w:szCs w:val="28"/>
        </w:rPr>
        <w:t>主要原因：正常人员变动。</w:t>
      </w:r>
    </w:p>
    <w:p w14:paraId="32ACD2A7">
      <w:pPr>
        <w:spacing w:line="580" w:lineRule="exact"/>
        <w:ind w:firstLine="560" w:firstLineChars="200"/>
        <w:rPr>
          <w:rFonts w:ascii="仿宋_GB2312" w:eastAsia="仿宋_GB2312"/>
          <w:sz w:val="28"/>
          <w:szCs w:val="28"/>
        </w:rPr>
      </w:pPr>
      <w:r>
        <w:rPr>
          <w:rFonts w:hint="eastAsia" w:ascii="仿宋_GB2312" w:eastAsia="仿宋_GB2312"/>
          <w:sz w:val="28"/>
          <w:szCs w:val="28"/>
        </w:rPr>
        <w:t>2、“社会保障和就业支出”(类)2024年度决算142.64万元，比2024年年初预算（137.67万元）增加4.97万元，增加3.6 %。其中：</w:t>
      </w:r>
    </w:p>
    <w:p w14:paraId="2B1A14B4">
      <w:pPr>
        <w:spacing w:line="580" w:lineRule="exact"/>
        <w:ind w:firstLine="560" w:firstLineChars="200"/>
        <w:rPr>
          <w:rFonts w:ascii="仿宋_GB2312" w:eastAsia="仿宋_GB2312"/>
          <w:sz w:val="28"/>
          <w:szCs w:val="28"/>
        </w:rPr>
      </w:pPr>
      <w:r>
        <w:rPr>
          <w:rFonts w:hint="eastAsia" w:ascii="仿宋_GB2312" w:eastAsia="仿宋_GB2312"/>
          <w:sz w:val="28"/>
          <w:szCs w:val="28"/>
        </w:rPr>
        <w:t>“行政事业单位养老支出”（款）2024年度决算142.64万元，比2024年年初预算（137.67万元）增加4.97万元，增加3.6 %。主要原因：养老保险基数调标、职业年金基数调标、在职教师转退休、退休人员死亡抚恤金。</w:t>
      </w:r>
    </w:p>
    <w:p w14:paraId="22991489">
      <w:pPr>
        <w:spacing w:line="580" w:lineRule="exact"/>
        <w:ind w:firstLine="560" w:firstLineChars="200"/>
        <w:rPr>
          <w:rFonts w:ascii="仿宋_GB2312" w:eastAsia="仿宋_GB2312"/>
          <w:sz w:val="28"/>
          <w:szCs w:val="28"/>
        </w:rPr>
      </w:pPr>
      <w:r>
        <w:rPr>
          <w:rFonts w:hint="eastAsia" w:ascii="仿宋_GB2312" w:eastAsia="仿宋_GB2312"/>
          <w:sz w:val="28"/>
          <w:szCs w:val="28"/>
        </w:rPr>
        <w:t>3、“卫生健康支出”(类)2024年度决算  104.75万元，比2024年年初预算（101.40万元）增加3.35 万元，增长3.2%。其中：</w:t>
      </w:r>
    </w:p>
    <w:p w14:paraId="65B588C2">
      <w:pPr>
        <w:spacing w:line="580" w:lineRule="exact"/>
        <w:ind w:firstLine="560" w:firstLineChars="200"/>
        <w:rPr>
          <w:rFonts w:ascii="仿宋_GB2312" w:eastAsia="仿宋_GB2312"/>
          <w:sz w:val="28"/>
          <w:szCs w:val="28"/>
        </w:rPr>
      </w:pPr>
      <w:r>
        <w:rPr>
          <w:rFonts w:hint="eastAsia" w:ascii="仿宋_GB2312" w:eastAsia="仿宋_GB2312"/>
          <w:sz w:val="28"/>
          <w:szCs w:val="28"/>
        </w:rPr>
        <w:t>“行政事业单位医疗”（款）2024年度决算104.75万元，比2024年年初预算（101.40万元）增加3.35万元，增长3.2%。主要原因：医疗保险基数调标、公务员医疗补助基数调标。</w:t>
      </w:r>
    </w:p>
    <w:p w14:paraId="0E1DA65B">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14:paraId="73B2B205">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（一）政府性基金预算财政拨款支出决算总体情况</w:t>
      </w:r>
    </w:p>
    <w:p w14:paraId="1F320804">
      <w:pPr>
        <w:tabs>
          <w:tab w:val="center" w:pos="6979"/>
        </w:tabs>
        <w:spacing w:line="580" w:lineRule="exact"/>
        <w:ind w:firstLine="560" w:firstLineChars="200"/>
        <w:rPr>
          <w:rFonts w:hint="eastAsia" w:ascii="仿宋_GB2312" w:eastAsia="仿宋_GB2312"/>
          <w:sz w:val="28"/>
          <w:szCs w:val="28"/>
          <w:lang w:val="en-US" w:eastAsia="zh-CN"/>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年度政府性基金预算财政拨款支出</w:t>
      </w:r>
      <w:r>
        <w:rPr>
          <w:rFonts w:ascii="仿宋_GB2312" w:eastAsia="仿宋_GB2312"/>
          <w:sz w:val="28"/>
          <w:szCs w:val="28"/>
        </w:rPr>
        <w:t>0</w:t>
      </w:r>
      <w:r>
        <w:rPr>
          <w:rFonts w:hint="eastAsia" w:ascii="仿宋_GB2312" w:eastAsia="仿宋_GB2312"/>
          <w:sz w:val="28"/>
          <w:szCs w:val="28"/>
        </w:rPr>
        <w:t>万元。</w:t>
      </w:r>
    </w:p>
    <w:p w14:paraId="5AE8FADF">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（二）政府性基金预算财政拨款支出决算具体情况</w:t>
      </w:r>
    </w:p>
    <w:p w14:paraId="7AC7A8CD">
      <w:pPr>
        <w:spacing w:line="560" w:lineRule="exact"/>
        <w:ind w:firstLine="420" w:firstLineChars="150"/>
        <w:rPr>
          <w:rFonts w:ascii="仿宋_GB2312" w:eastAsia="仿宋_GB2312"/>
          <w:sz w:val="28"/>
          <w:szCs w:val="28"/>
        </w:rPr>
      </w:pPr>
      <w:r>
        <w:rPr>
          <w:rFonts w:hint="eastAsia" w:ascii="仿宋_GB2312" w:eastAsia="仿宋_GB2312"/>
          <w:sz w:val="28"/>
          <w:szCs w:val="28"/>
        </w:rPr>
        <w:t>本单位2024年度无政府性基金预算财政拨款安排的支出。</w:t>
      </w:r>
    </w:p>
    <w:p w14:paraId="238041DF">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14:paraId="10A45ED6">
      <w:pPr>
        <w:ind w:firstLine="537" w:firstLineChars="192"/>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年度国有资本经营预算财政</w:t>
      </w:r>
      <w:r>
        <w:rPr>
          <w:rFonts w:ascii="仿宋_GB2312" w:eastAsia="仿宋_GB2312"/>
          <w:sz w:val="28"/>
          <w:szCs w:val="28"/>
        </w:rPr>
        <w:t>拨款</w:t>
      </w:r>
      <w:r>
        <w:rPr>
          <w:rFonts w:hint="eastAsia" w:ascii="仿宋_GB2312" w:eastAsia="仿宋_GB2312"/>
          <w:sz w:val="28"/>
          <w:szCs w:val="28"/>
        </w:rPr>
        <w:t>收入总</w:t>
      </w:r>
      <w:r>
        <w:rPr>
          <w:rFonts w:ascii="仿宋_GB2312" w:eastAsia="仿宋_GB2312"/>
          <w:sz w:val="28"/>
          <w:szCs w:val="28"/>
        </w:rPr>
        <w:t>计0</w:t>
      </w:r>
      <w:r>
        <w:rPr>
          <w:rFonts w:hint="eastAsia" w:ascii="仿宋_GB2312" w:eastAsia="仿宋_GB2312"/>
          <w:sz w:val="28"/>
          <w:szCs w:val="28"/>
        </w:rPr>
        <w:t>万元，国有资本经营预算财政</w:t>
      </w:r>
      <w:r>
        <w:rPr>
          <w:rFonts w:ascii="仿宋_GB2312" w:eastAsia="仿宋_GB2312"/>
          <w:sz w:val="28"/>
          <w:szCs w:val="28"/>
        </w:rPr>
        <w:t>拨款</w:t>
      </w:r>
      <w:r>
        <w:rPr>
          <w:rFonts w:hint="eastAsia" w:ascii="仿宋_GB2312" w:eastAsia="仿宋_GB2312"/>
          <w:sz w:val="28"/>
          <w:szCs w:val="28"/>
        </w:rPr>
        <w:t>支出总</w:t>
      </w:r>
      <w:r>
        <w:rPr>
          <w:rFonts w:ascii="仿宋_GB2312" w:eastAsia="仿宋_GB2312"/>
          <w:sz w:val="28"/>
          <w:szCs w:val="28"/>
        </w:rPr>
        <w:t>计0</w:t>
      </w:r>
      <w:r>
        <w:rPr>
          <w:rFonts w:hint="eastAsia" w:ascii="仿宋_GB2312" w:eastAsia="仿宋_GB2312"/>
          <w:sz w:val="28"/>
          <w:szCs w:val="28"/>
        </w:rPr>
        <w:t>万元。</w:t>
      </w:r>
    </w:p>
    <w:p w14:paraId="127A7354">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14:paraId="2120D6F7">
      <w:pPr>
        <w:tabs>
          <w:tab w:val="center" w:pos="6979"/>
        </w:tabs>
        <w:spacing w:line="580" w:lineRule="exact"/>
        <w:ind w:firstLine="548" w:firstLineChars="196"/>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1336.48</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14:paraId="582DBA48">
      <w:pPr>
        <w:autoSpaceDE w:val="0"/>
        <w:autoSpaceDN w:val="0"/>
        <w:adjustRightInd w:val="0"/>
        <w:spacing w:line="580" w:lineRule="exact"/>
        <w:jc w:val="both"/>
        <w:rPr>
          <w:rFonts w:hint="eastAsia" w:ascii="宋体" w:hAnsi="宋体"/>
          <w:b/>
          <w:spacing w:val="40"/>
          <w:sz w:val="32"/>
          <w:szCs w:val="32"/>
        </w:rPr>
      </w:pPr>
      <w:r>
        <w:rPr>
          <w:rFonts w:ascii="仿宋_GB2312" w:eastAsia="仿宋_GB2312"/>
          <w:b/>
          <w:sz w:val="32"/>
          <w:szCs w:val="32"/>
        </w:rPr>
        <w:tab/>
      </w:r>
    </w:p>
    <w:p w14:paraId="382915DA">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14:paraId="58ECC54B">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14:paraId="2DA3E230">
      <w:pPr>
        <w:spacing w:line="560" w:lineRule="exact"/>
        <w:ind w:firstLine="600"/>
        <w:rPr>
          <w:rFonts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年度“三公”经费财政拨款决算数0.36万元，比</w:t>
      </w:r>
      <w:r>
        <w:rPr>
          <w:rFonts w:hint="eastAsia" w:ascii="仿宋_GB2312" w:eastAsia="仿宋_GB2312"/>
          <w:sz w:val="28"/>
          <w:szCs w:val="28"/>
          <w:lang w:eastAsia="zh-CN"/>
        </w:rPr>
        <w:t>2024</w:t>
      </w:r>
      <w:r>
        <w:rPr>
          <w:rFonts w:hint="eastAsia" w:ascii="仿宋_GB2312" w:eastAsia="仿宋_GB2312"/>
          <w:sz w:val="28"/>
          <w:szCs w:val="28"/>
        </w:rPr>
        <w:t>年度“三公”经费财政拨款年初预算2.7万元减少2.34万元。其中：</w:t>
      </w:r>
    </w:p>
    <w:p w14:paraId="4A925C15">
      <w:pPr>
        <w:spacing w:line="560" w:lineRule="exact"/>
        <w:ind w:firstLine="600"/>
        <w:rPr>
          <w:rFonts w:hint="eastAsia" w:ascii="仿宋_GB2312" w:eastAsia="仿宋_GB2312"/>
          <w:sz w:val="28"/>
          <w:szCs w:val="28"/>
        </w:rPr>
      </w:pPr>
      <w:r>
        <w:rPr>
          <w:rFonts w:hint="eastAsia" w:ascii="仿宋_GB2312" w:eastAsia="仿宋_GB2312"/>
          <w:sz w:val="28"/>
          <w:szCs w:val="28"/>
        </w:rPr>
        <w:t>1.因公出国（境）费用。202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color w:val="000000"/>
          <w:sz w:val="28"/>
          <w:szCs w:val="28"/>
        </w:rPr>
        <w:t>与2024年度年初预算数0万元持平</w:t>
      </w:r>
      <w:r>
        <w:rPr>
          <w:rFonts w:hint="eastAsia" w:ascii="仿宋_GB2312" w:eastAsia="仿宋_GB2312"/>
          <w:sz w:val="28"/>
          <w:szCs w:val="28"/>
        </w:rPr>
        <w:t>。主要原因：</w:t>
      </w:r>
      <w:r>
        <w:rPr>
          <w:rFonts w:hint="eastAsia" w:ascii="仿宋_GB2312" w:eastAsia="仿宋_GB2312"/>
          <w:color w:val="000000"/>
          <w:sz w:val="28"/>
          <w:szCs w:val="28"/>
        </w:rPr>
        <w:t>因公出国（境）费用根据年度出国审批情况作为追加项目管理，单位不做年初预算，本年也没有出国审批项目发生</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年度因公出国（境）费用主要用于出国的会议、培训等事项，202</w:t>
      </w:r>
      <w:r>
        <w:rPr>
          <w:rFonts w:hint="eastAsia" w:ascii="仿宋_GB2312" w:eastAsia="仿宋_GB2312"/>
          <w:sz w:val="28"/>
          <w:szCs w:val="28"/>
          <w:lang w:val="en-US" w:eastAsia="zh-CN"/>
        </w:rPr>
        <w:t>4</w:t>
      </w:r>
      <w:r>
        <w:rPr>
          <w:rFonts w:hint="eastAsia" w:ascii="仿宋_GB2312" w:eastAsia="仿宋_GB2312"/>
          <w:sz w:val="28"/>
          <w:szCs w:val="28"/>
        </w:rPr>
        <w:t>年度组织因公出国（境）团组</w:t>
      </w:r>
      <w:r>
        <w:rPr>
          <w:rFonts w:hint="eastAsia" w:ascii="仿宋_GB2312" w:eastAsia="仿宋_GB2312"/>
          <w:sz w:val="28"/>
          <w:szCs w:val="28"/>
          <w:lang w:eastAsia="zh-CN"/>
        </w:rPr>
        <w:t>0</w:t>
      </w:r>
      <w:r>
        <w:rPr>
          <w:rFonts w:hint="eastAsia" w:ascii="仿宋_GB2312" w:eastAsia="仿宋_GB2312"/>
          <w:sz w:val="28"/>
          <w:szCs w:val="28"/>
        </w:rPr>
        <w:t>个、</w:t>
      </w:r>
      <w:r>
        <w:rPr>
          <w:rFonts w:hint="eastAsia" w:ascii="仿宋_GB2312" w:eastAsia="仿宋_GB2312"/>
          <w:sz w:val="28"/>
          <w:szCs w:val="28"/>
          <w:lang w:eastAsia="zh-CN"/>
        </w:rPr>
        <w:t>0</w:t>
      </w:r>
      <w:r>
        <w:rPr>
          <w:rFonts w:hint="eastAsia" w:ascii="仿宋_GB2312" w:eastAsia="仿宋_GB2312"/>
          <w:sz w:val="28"/>
          <w:szCs w:val="28"/>
        </w:rPr>
        <w:t>人次。</w:t>
      </w:r>
    </w:p>
    <w:p w14:paraId="312FDAB1">
      <w:pPr>
        <w:spacing w:line="560" w:lineRule="exact"/>
        <w:ind w:firstLine="600"/>
        <w:rPr>
          <w:rFonts w:hint="eastAsia" w:ascii="仿宋_GB2312" w:eastAsia="仿宋_GB2312"/>
          <w:sz w:val="28"/>
          <w:szCs w:val="28"/>
        </w:rPr>
      </w:pPr>
      <w:r>
        <w:rPr>
          <w:rFonts w:hint="eastAsia" w:ascii="仿宋_GB2312" w:eastAsia="仿宋_GB2312"/>
          <w:sz w:val="28"/>
          <w:szCs w:val="28"/>
        </w:rPr>
        <w:t>2.公务接待费。202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color w:val="000000"/>
          <w:sz w:val="28"/>
          <w:szCs w:val="28"/>
        </w:rPr>
        <w:t>0万元持平</w:t>
      </w:r>
      <w:r>
        <w:rPr>
          <w:rFonts w:hint="eastAsia" w:ascii="仿宋_GB2312" w:eastAsia="仿宋_GB2312"/>
          <w:sz w:val="28"/>
          <w:szCs w:val="28"/>
        </w:rPr>
        <w:t>。主要原因：</w:t>
      </w:r>
      <w:r>
        <w:rPr>
          <w:rFonts w:hint="eastAsia" w:ascii="仿宋_GB2312" w:eastAsia="仿宋_GB2312"/>
          <w:color w:val="000000"/>
          <w:sz w:val="28"/>
          <w:szCs w:val="28"/>
        </w:rPr>
        <w:t>本年度无公务接待支出。</w:t>
      </w:r>
      <w:r>
        <w:rPr>
          <w:rFonts w:hint="eastAsia" w:ascii="仿宋_GB2312" w:eastAsia="仿宋_GB2312"/>
          <w:sz w:val="28"/>
          <w:szCs w:val="28"/>
        </w:rPr>
        <w:t>公务接待</w:t>
      </w:r>
      <w:r>
        <w:rPr>
          <w:rFonts w:hint="eastAsia" w:ascii="仿宋_GB2312" w:eastAsia="仿宋_GB2312"/>
          <w:sz w:val="28"/>
          <w:szCs w:val="28"/>
          <w:lang w:eastAsia="zh-CN"/>
        </w:rPr>
        <w:t>0</w:t>
      </w:r>
      <w:r>
        <w:rPr>
          <w:rFonts w:hint="eastAsia" w:ascii="仿宋_GB2312" w:eastAsia="仿宋_GB2312"/>
          <w:sz w:val="28"/>
          <w:szCs w:val="28"/>
        </w:rPr>
        <w:t>批次，公务接待</w:t>
      </w:r>
      <w:r>
        <w:rPr>
          <w:rFonts w:hint="eastAsia" w:ascii="仿宋_GB2312" w:eastAsia="仿宋_GB2312"/>
          <w:sz w:val="28"/>
          <w:szCs w:val="28"/>
          <w:lang w:eastAsia="zh-CN"/>
        </w:rPr>
        <w:t>0</w:t>
      </w:r>
      <w:r>
        <w:rPr>
          <w:rFonts w:hint="eastAsia" w:ascii="仿宋_GB2312" w:eastAsia="仿宋_GB2312"/>
          <w:sz w:val="28"/>
          <w:szCs w:val="28"/>
        </w:rPr>
        <w:t>人次。</w:t>
      </w:r>
    </w:p>
    <w:p w14:paraId="7CD7FB32">
      <w:pPr>
        <w:tabs>
          <w:tab w:val="center" w:pos="6979"/>
        </w:tabs>
        <w:spacing w:line="580" w:lineRule="exact"/>
        <w:ind w:firstLine="570"/>
        <w:rPr>
          <w:rFonts w:ascii="仿宋_GB2312" w:eastAsia="仿宋_GB2312"/>
          <w:b/>
          <w:sz w:val="28"/>
          <w:szCs w:val="28"/>
        </w:rPr>
      </w:pPr>
      <w:r>
        <w:rPr>
          <w:rFonts w:hint="eastAsia" w:ascii="仿宋_GB2312" w:eastAsia="仿宋_GB2312"/>
          <w:sz w:val="28"/>
          <w:szCs w:val="28"/>
        </w:rPr>
        <w:t>3.公务用车购置及运行维护费。202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0.36</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2.7</w:t>
      </w:r>
      <w:r>
        <w:rPr>
          <w:rFonts w:hint="eastAsia" w:ascii="仿宋_GB2312" w:eastAsia="仿宋_GB2312"/>
          <w:sz w:val="28"/>
          <w:szCs w:val="28"/>
        </w:rPr>
        <w:t>万元减少2.34万元。其中，公务用车运行维护费2024年度决算数0.36万元，比2024年度年初预算数2.7万元减少0.34万元，主要原因：严格执行公务用车管理规定，通过执行相关规定和厉行节约，成功降低了公务用车运行维护费。2024年度公务用车运行维护费中，公务用车加油0万元，公务用车维修0万元，公务用车保险0.27万元，公务用车其他支出0.09万元。2024年度公务用车保有量1辆。</w:t>
      </w:r>
    </w:p>
    <w:p w14:paraId="4DC2A830">
      <w:pPr>
        <w:spacing w:line="560" w:lineRule="exact"/>
        <w:ind w:firstLine="560" w:firstLineChars="200"/>
        <w:rPr>
          <w:rFonts w:hint="eastAsia" w:ascii="仿宋_GB2312" w:eastAsia="仿宋_GB2312"/>
          <w:sz w:val="28"/>
          <w:szCs w:val="28"/>
        </w:rPr>
      </w:pPr>
    </w:p>
    <w:p w14:paraId="65BB68F0">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14:paraId="288C54A7">
      <w:pPr>
        <w:ind w:firstLine="537" w:firstLineChars="192"/>
        <w:rPr>
          <w:rFonts w:hint="eastAsia" w:ascii="仿宋_GB2312" w:eastAsia="仿宋_GB2312"/>
          <w:sz w:val="28"/>
          <w:szCs w:val="28"/>
        </w:rPr>
      </w:pPr>
      <w:r>
        <w:rPr>
          <w:rFonts w:hint="eastAsia" w:ascii="仿宋_GB2312" w:eastAsia="仿宋_GB2312"/>
          <w:sz w:val="28"/>
          <w:szCs w:val="28"/>
        </w:rPr>
        <w:t>本单位不在机关运行经费统计范围之内。</w:t>
      </w:r>
    </w:p>
    <w:p w14:paraId="46C2D35F">
      <w:pPr>
        <w:ind w:left="540"/>
        <w:rPr>
          <w:rFonts w:hint="eastAsia" w:ascii="黑体" w:eastAsia="黑体"/>
          <w:sz w:val="28"/>
          <w:szCs w:val="28"/>
        </w:rPr>
      </w:pPr>
      <w:r>
        <w:rPr>
          <w:rFonts w:hint="eastAsia" w:ascii="黑体" w:eastAsia="黑体"/>
          <w:sz w:val="28"/>
          <w:szCs w:val="28"/>
        </w:rPr>
        <w:t>三、政府采购支出情况</w:t>
      </w:r>
    </w:p>
    <w:p w14:paraId="28C2AD77">
      <w:pPr>
        <w:ind w:firstLine="537" w:firstLineChars="192"/>
        <w:rPr>
          <w:rFonts w:ascii="仿宋_GB2312" w:eastAsia="仿宋_GB2312"/>
          <w:sz w:val="28"/>
          <w:szCs w:val="28"/>
        </w:rPr>
      </w:pPr>
      <w:r>
        <w:rPr>
          <w:rFonts w:hint="eastAsia" w:ascii="仿宋_GB2312" w:eastAsia="仿宋_GB2312"/>
          <w:sz w:val="28"/>
          <w:szCs w:val="28"/>
        </w:rPr>
        <w:t>2024年度政府采购支出总额5.67万元，其中：政府采购货物支出0万元，政府采购工程支出0万元，政府采购服务支出5.67万元。授予中小企业合同金额5.67万元，占政府采购支出总额的100%，其中：授予小微企业合同金额5.67万元，占政府采购支出总额的100%。</w:t>
      </w:r>
    </w:p>
    <w:p w14:paraId="45385732">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14:paraId="0ABCE68A">
      <w:pPr>
        <w:ind w:firstLine="560" w:firstLineChars="200"/>
        <w:rPr>
          <w:rFonts w:ascii="仿宋_GB2312" w:eastAsia="仿宋_GB2312"/>
          <w:sz w:val="28"/>
          <w:szCs w:val="28"/>
        </w:rPr>
      </w:pPr>
      <w:r>
        <w:rPr>
          <w:rFonts w:hint="eastAsia" w:ascii="仿宋_GB2312" w:eastAsia="仿宋_GB2312"/>
          <w:sz w:val="28"/>
          <w:szCs w:val="28"/>
        </w:rPr>
        <w:t>2024年度新购置车辆0台，共计0万元；新购置单位价值100万元以上的设备0台（套），共计0万元。截至2024年底，本单位固定资产总额524.93万元，其中车辆1台，共计11.69万元；单位价值100万元以上的设备0台（套），共计0万元。</w:t>
      </w:r>
    </w:p>
    <w:p w14:paraId="76BEDC1A">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14:paraId="452627EB">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政府购买服务决算0</w:t>
      </w:r>
      <w:r>
        <w:rPr>
          <w:rFonts w:hint="eastAsia" w:ascii="仿宋_GB2312" w:eastAsia="仿宋_GB2312"/>
          <w:sz w:val="28"/>
          <w:szCs w:val="28"/>
        </w:rPr>
        <w:t>万元。</w:t>
      </w:r>
    </w:p>
    <w:p w14:paraId="4A0FCDF7">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14:paraId="59201AC7">
      <w:pPr>
        <w:ind w:firstLine="560" w:firstLineChars="200"/>
        <w:rPr>
          <w:rFonts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14:paraId="3FB03895">
      <w:pPr>
        <w:ind w:firstLine="560" w:firstLineChars="200"/>
        <w:rPr>
          <w:rFonts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14:paraId="6677825F">
      <w:pPr>
        <w:ind w:firstLine="560" w:firstLineChars="200"/>
        <w:rPr>
          <w:rFonts w:ascii="仿宋_GB2312"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11D152FA">
      <w:pPr>
        <w:ind w:firstLine="420" w:firstLineChars="150"/>
        <w:rPr>
          <w:rFonts w:ascii="仿宋_GB2312" w:hAnsi="宋体" w:eastAsia="仿宋_GB2312"/>
          <w:sz w:val="28"/>
          <w:szCs w:val="28"/>
        </w:rPr>
      </w:pPr>
      <w:r>
        <w:rPr>
          <w:rFonts w:hint="eastAsia" w:ascii="仿宋_GB2312" w:eastAsia="仿宋_GB2312"/>
          <w:sz w:val="28"/>
          <w:szCs w:val="28"/>
        </w:rPr>
        <w:t xml:space="preserve"> 4.机关运行经费：</w:t>
      </w:r>
      <w:r>
        <w:rPr>
          <w:rFonts w:hint="eastAsia" w:ascii="仿宋_GB2312" w:hAnsi="宋体" w:eastAsia="仿宋_GB2312"/>
          <w:sz w:val="28"/>
          <w:szCs w:val="28"/>
        </w:rPr>
        <w:t>指为保障行政单位（含参照公务员法管理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2668F9D8">
      <w:pPr>
        <w:ind w:firstLine="420" w:firstLineChars="150"/>
        <w:rPr>
          <w:rFonts w:ascii="仿宋_GB2312" w:eastAsia="仿宋_GB2312"/>
          <w:sz w:val="28"/>
          <w:szCs w:val="28"/>
        </w:rPr>
      </w:pPr>
      <w:r>
        <w:rPr>
          <w:rFonts w:hint="eastAsia" w:ascii="仿宋_GB2312" w:eastAsia="仿宋_GB2312"/>
          <w:sz w:val="28"/>
          <w:szCs w:val="28"/>
        </w:rPr>
        <w:t>5.政府采购：指各级国家机关、事业单位和团体组织，使用财政性资金采购依法制定的集中目录以内的或者采购限额标准以上的货物、工程和服务的行为，是规范财政支出管理和强化预算约束的有效措施。</w:t>
      </w:r>
    </w:p>
    <w:p w14:paraId="24458FB7">
      <w:pPr>
        <w:ind w:firstLine="420" w:firstLineChars="150"/>
        <w:rPr>
          <w:rFonts w:ascii="仿宋_GB2312" w:eastAsia="仿宋_GB2312"/>
          <w:sz w:val="28"/>
          <w:szCs w:val="28"/>
        </w:rPr>
      </w:pPr>
      <w:r>
        <w:rPr>
          <w:rFonts w:hint="eastAsia" w:ascii="仿宋_GB2312" w:eastAsia="仿宋_GB2312"/>
          <w:sz w:val="28"/>
          <w:szCs w:val="28"/>
        </w:rPr>
        <w:t>6.政府购买服务：是指各级国家机关将属于自身职责范围且适合通过市场化方式提供的服务事项，按照政府采购方式和程序，交由符合条件的服务供应商承担，并根据服务数量和质量等因素向其支付费用的行为。</w:t>
      </w:r>
    </w:p>
    <w:p w14:paraId="1BA71475">
      <w:pPr>
        <w:ind w:firstLine="420" w:firstLineChars="150"/>
        <w:rPr>
          <w:rFonts w:ascii="黑体" w:eastAsia="黑体"/>
          <w:sz w:val="32"/>
          <w:szCs w:val="32"/>
        </w:rPr>
      </w:pPr>
      <w:r>
        <w:rPr>
          <w:rFonts w:hint="eastAsia" w:ascii="仿宋_GB2312" w:eastAsia="仿宋_GB2312"/>
          <w:sz w:val="28"/>
          <w:szCs w:val="28"/>
        </w:rPr>
        <w:t>7.教育支出（类）普通教育（款）学前教育（项）：反应各部门举办的学前教育支出。政府各部门对社会组织等举办的幼儿园的资助，如捐赠、补贴等，也在本科目中反映。</w:t>
      </w:r>
    </w:p>
    <w:p w14:paraId="73C89016">
      <w:pPr>
        <w:ind w:firstLine="420" w:firstLineChars="150"/>
        <w:rPr>
          <w:rFonts w:ascii="仿宋" w:hAnsi="仿宋" w:eastAsia="仿宋" w:cs="仿宋"/>
          <w:sz w:val="28"/>
          <w:szCs w:val="28"/>
        </w:rPr>
      </w:pPr>
      <w:r>
        <w:rPr>
          <w:rFonts w:hint="eastAsia" w:ascii="仿宋" w:hAnsi="仿宋" w:eastAsia="仿宋" w:cs="仿宋"/>
          <w:sz w:val="28"/>
          <w:szCs w:val="28"/>
        </w:rPr>
        <w:t>8.教育支出（类）教育费附加安排的支出（款）其他教育费附加安排的支出（项）：反映用教育费附加安排的支出。</w:t>
      </w:r>
    </w:p>
    <w:p w14:paraId="704C960C">
      <w:pPr>
        <w:ind w:firstLine="420" w:firstLineChars="150"/>
        <w:rPr>
          <w:rFonts w:ascii="仿宋" w:hAnsi="仿宋" w:eastAsia="仿宋" w:cs="仿宋"/>
          <w:sz w:val="28"/>
          <w:szCs w:val="28"/>
        </w:rPr>
      </w:pPr>
      <w:r>
        <w:rPr>
          <w:rFonts w:hint="eastAsia" w:ascii="仿宋" w:hAnsi="仿宋" w:eastAsia="仿宋" w:cs="仿宋"/>
          <w:sz w:val="28"/>
          <w:szCs w:val="28"/>
        </w:rPr>
        <w:t>9.社会保障和就业支出（类）行政事业单位养老支出（款）事业单位离退休（项）：反映事业单位开支的离退休经费。</w:t>
      </w:r>
    </w:p>
    <w:p w14:paraId="45254684">
      <w:pPr>
        <w:ind w:firstLine="420" w:firstLineChars="150"/>
        <w:rPr>
          <w:rFonts w:ascii="仿宋" w:hAnsi="仿宋" w:eastAsia="仿宋" w:cs="仿宋"/>
          <w:sz w:val="28"/>
          <w:szCs w:val="28"/>
        </w:rPr>
      </w:pPr>
      <w:r>
        <w:rPr>
          <w:rFonts w:hint="eastAsia" w:ascii="仿宋" w:hAnsi="仿宋" w:eastAsia="仿宋" w:cs="仿宋"/>
          <w:sz w:val="28"/>
          <w:szCs w:val="28"/>
        </w:rPr>
        <w:t>10.社会保障和就业支出（类）行政事业单位养老支出（款）机关事业单位基本养老保险缴费支出（项）：反映机关事业单位实施养老保险制度由单位缴纳的基本养老保险费支出。</w:t>
      </w:r>
    </w:p>
    <w:p w14:paraId="420F0F0B">
      <w:pPr>
        <w:ind w:firstLine="420" w:firstLineChars="150"/>
        <w:rPr>
          <w:rFonts w:ascii="仿宋" w:hAnsi="仿宋" w:eastAsia="仿宋" w:cs="仿宋"/>
          <w:sz w:val="28"/>
          <w:szCs w:val="28"/>
        </w:rPr>
      </w:pPr>
      <w:r>
        <w:rPr>
          <w:rFonts w:hint="eastAsia" w:ascii="仿宋" w:hAnsi="仿宋" w:eastAsia="仿宋" w:cs="仿宋"/>
          <w:sz w:val="28"/>
          <w:szCs w:val="28"/>
        </w:rPr>
        <w:t>11.社会保障和就业支出（类）行政事业单位养老支出（款）机关事业单位职业年金缴费支出（项）：反映机关事业单位实施养老保险制度由单位实际缴纳的职业年金支出。</w:t>
      </w:r>
    </w:p>
    <w:p w14:paraId="56C0F1B6">
      <w:pPr>
        <w:ind w:firstLine="420" w:firstLineChars="150"/>
        <w:rPr>
          <w:rFonts w:ascii="仿宋" w:hAnsi="仿宋" w:eastAsia="仿宋" w:cs="仿宋"/>
          <w:sz w:val="28"/>
          <w:szCs w:val="28"/>
        </w:rPr>
      </w:pPr>
      <w:r>
        <w:rPr>
          <w:rFonts w:hint="eastAsia" w:ascii="仿宋" w:hAnsi="仿宋" w:eastAsia="仿宋" w:cs="仿宋"/>
          <w:sz w:val="28"/>
          <w:szCs w:val="28"/>
        </w:rPr>
        <w:t>12.社会保障和就业支出（类）行政事业单位养老支出（款）其他行政事业单位养老支出（项）：反映除上述项目以外其他用于行政事业单位养老方面的支出。</w:t>
      </w:r>
    </w:p>
    <w:p w14:paraId="4305AF5B">
      <w:pPr>
        <w:ind w:firstLine="420" w:firstLineChars="150"/>
        <w:rPr>
          <w:rFonts w:ascii="仿宋" w:hAnsi="仿宋" w:eastAsia="仿宋" w:cs="仿宋"/>
          <w:sz w:val="28"/>
          <w:szCs w:val="28"/>
        </w:rPr>
      </w:pPr>
      <w:r>
        <w:rPr>
          <w:rFonts w:hint="eastAsia" w:ascii="仿宋" w:hAnsi="仿宋" w:eastAsia="仿宋" w:cs="仿宋"/>
          <w:sz w:val="28"/>
          <w:szCs w:val="28"/>
        </w:rPr>
        <w:t>13.卫生健康支出（类）行政事业单位医疗（款）事业单位医疗（项）：反映财政部门安排的事业单位基本医疗保险缴费经费，未参加医疗保险的事业单位的公费医疗经费，按国家规定享受离退休人员待遇的医疗经费。</w:t>
      </w:r>
    </w:p>
    <w:p w14:paraId="4C250089">
      <w:pPr>
        <w:ind w:left="420" w:leftChars="200"/>
        <w:rPr>
          <w:rFonts w:ascii="仿宋" w:hAnsi="仿宋" w:eastAsia="仿宋" w:cs="仿宋"/>
          <w:sz w:val="28"/>
          <w:szCs w:val="28"/>
        </w:rPr>
      </w:pPr>
      <w:r>
        <w:rPr>
          <w:rFonts w:hint="eastAsia" w:ascii="仿宋" w:hAnsi="仿宋" w:eastAsia="仿宋" w:cs="仿宋"/>
          <w:sz w:val="28"/>
          <w:szCs w:val="28"/>
        </w:rPr>
        <w:t>14.卫生健康支出（类）行政事业单位医疗（款）公务员医疗补助（项）：反映财政部门安排的公务员医疗补助经费。15.城乡社区支出（类）其他城乡社区支出（款）其他城乡社区支出（项）：反映其他用于城乡社区方面的支出。</w:t>
      </w:r>
    </w:p>
    <w:p w14:paraId="429276BD">
      <w:pPr>
        <w:ind w:firstLine="420" w:firstLineChars="150"/>
        <w:rPr>
          <w:rFonts w:ascii="黑体" w:eastAsia="黑体"/>
          <w:sz w:val="32"/>
          <w:szCs w:val="32"/>
        </w:rPr>
      </w:pPr>
      <w:r>
        <w:rPr>
          <w:rFonts w:hint="eastAsia" w:ascii="仿宋" w:hAnsi="仿宋" w:eastAsia="仿宋" w:cs="仿宋"/>
          <w:sz w:val="28"/>
          <w:szCs w:val="28"/>
        </w:rPr>
        <w:t>16.</w:t>
      </w:r>
      <w:r>
        <w:rPr>
          <w:rFonts w:hint="eastAsia" w:ascii="仿宋_GB2312" w:eastAsia="仿宋_GB2312"/>
          <w:sz w:val="28"/>
          <w:szCs w:val="28"/>
        </w:rPr>
        <w:t>住房保障支出（类）住房改革支出（款）购房补贴（项）：反应按房改政策规定，行政事业单位向符合条件职工（含离退休人员）、军队（含武警）向转役复员离退休人员发放的用于购买住房的补贴。</w:t>
      </w:r>
    </w:p>
    <w:p w14:paraId="38428C7B">
      <w:pPr>
        <w:tabs>
          <w:tab w:val="center" w:pos="6979"/>
        </w:tabs>
        <w:spacing w:line="380" w:lineRule="exact"/>
        <w:jc w:val="center"/>
        <w:rPr>
          <w:rFonts w:ascii="宋体" w:hAnsi="宋体" w:cs="宋体"/>
          <w:b/>
          <w:bCs/>
          <w:kern w:val="0"/>
          <w:sz w:val="28"/>
          <w:szCs w:val="28"/>
        </w:rPr>
      </w:pPr>
    </w:p>
    <w:p w14:paraId="5C5AAB23">
      <w:pPr>
        <w:pStyle w:val="2"/>
      </w:pPr>
    </w:p>
    <w:p w14:paraId="0E3F6992">
      <w:pPr>
        <w:tabs>
          <w:tab w:val="center" w:pos="6979"/>
        </w:tabs>
        <w:spacing w:line="380" w:lineRule="exact"/>
        <w:jc w:val="center"/>
        <w:rPr>
          <w:rFonts w:ascii="宋体" w:hAnsi="宋体" w:cs="宋体"/>
          <w:b/>
          <w:bCs/>
          <w:kern w:val="0"/>
          <w:sz w:val="28"/>
          <w:szCs w:val="28"/>
        </w:rPr>
      </w:pPr>
    </w:p>
    <w:p w14:paraId="3F7C8788">
      <w:pPr>
        <w:jc w:val="both"/>
        <w:rPr>
          <w:rFonts w:hint="eastAsia" w:ascii="黑体" w:eastAsia="黑体"/>
          <w:sz w:val="32"/>
          <w:szCs w:val="32"/>
        </w:rPr>
      </w:pPr>
    </w:p>
    <w:p w14:paraId="5AC61738">
      <w:pPr>
        <w:ind w:firstLine="640" w:firstLineChars="200"/>
        <w:jc w:val="center"/>
        <w:rPr>
          <w:rFonts w:hint="eastAsia" w:ascii="黑体" w:eastAsia="黑体"/>
          <w:sz w:val="32"/>
          <w:szCs w:val="32"/>
        </w:rPr>
      </w:pPr>
    </w:p>
    <w:p w14:paraId="629AFF4C">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14:paraId="7FB71479">
      <w:pPr>
        <w:ind w:firstLine="560" w:firstLineChars="200"/>
        <w:rPr>
          <w:rFonts w:hint="eastAsia" w:ascii="黑体" w:eastAsia="黑体"/>
          <w:sz w:val="28"/>
          <w:szCs w:val="28"/>
          <w:highlight w:val="yellow"/>
        </w:rPr>
      </w:pPr>
    </w:p>
    <w:p w14:paraId="1F809966">
      <w:pPr>
        <w:numPr>
          <w:ilvl w:val="0"/>
          <w:numId w:val="1"/>
        </w:numPr>
        <w:ind w:firstLine="560" w:firstLineChars="200"/>
        <w:rPr>
          <w:rFonts w:ascii="黑体" w:eastAsia="黑体"/>
          <w:sz w:val="28"/>
          <w:szCs w:val="28"/>
          <w:highlight w:val="none"/>
        </w:rPr>
      </w:pPr>
      <w:r>
        <w:rPr>
          <w:rFonts w:hint="eastAsia" w:ascii="黑体" w:eastAsia="黑体"/>
          <w:sz w:val="28"/>
          <w:szCs w:val="28"/>
          <w:highlight w:val="none"/>
        </w:rPr>
        <w:t>项目</w:t>
      </w:r>
      <w:r>
        <w:rPr>
          <w:rFonts w:ascii="黑体" w:eastAsia="黑体"/>
          <w:sz w:val="28"/>
          <w:szCs w:val="28"/>
          <w:highlight w:val="none"/>
        </w:rPr>
        <w:t>支出绩效自评表</w:t>
      </w:r>
      <w:r>
        <w:rPr>
          <w:rFonts w:hint="eastAsia" w:ascii="黑体" w:eastAsia="黑体"/>
          <w:sz w:val="28"/>
          <w:szCs w:val="28"/>
          <w:highlight w:val="none"/>
          <w:lang w:eastAsia="zh-CN"/>
        </w:rPr>
        <w:t>（详见附件）</w:t>
      </w:r>
    </w:p>
    <w:p w14:paraId="7154EA1C">
      <w:pPr>
        <w:spacing w:line="480" w:lineRule="exact"/>
        <w:rPr>
          <w:rFonts w:hint="eastAsia" w:ascii="仿宋_GB2312" w:hAnsi="仿宋_GB2312" w:eastAsia="仿宋_GB2312" w:cs="仿宋_GB2312"/>
          <w:sz w:val="32"/>
          <w:szCs w:val="32"/>
        </w:rPr>
      </w:pPr>
      <w:bookmarkStart w:id="0" w:name="_GoBack"/>
      <w:bookmarkEnd w:id="0"/>
    </w:p>
    <w:p w14:paraId="001493F6">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Droid Sans">
    <w:altName w:val="Arial Unicode MS"/>
    <w:panose1 w:val="00000000000000000000"/>
    <w:charset w:val="00"/>
    <w:family w:val="auto"/>
    <w:pitch w:val="default"/>
    <w:sig w:usb0="00000000" w:usb1="00000000" w:usb2="00000000" w:usb3="00000000" w:csb0="00040001" w:csb1="00000000"/>
  </w:font>
  <w:font w:name="Noto Sans SC">
    <w:altName w:val="Segoe Print"/>
    <w:panose1 w:val="00000000000000000000"/>
    <w:charset w:val="00"/>
    <w:family w:val="auto"/>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font>
  <w:font w:name="Segoe Print">
    <w:panose1 w:val="02000600000000000000"/>
    <w:charset w:val="00"/>
    <w:family w:val="auto"/>
    <w:pitch w:val="default"/>
    <w:sig w:usb0="0000028F" w:usb1="00000000" w:usb2="00000000" w:usb3="00000000" w:csb0="2000009F" w:csb1="4701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52604A">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14:paraId="36EB3156">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9A97E9">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14:paraId="3ED1EF9A">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EEC005">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14:paraId="50D0DAE2">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7E84BE"/>
    <w:multiLevelType w:val="singleLevel"/>
    <w:tmpl w:val="8D7E84BE"/>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79004AC"/>
    <w:rsid w:val="0BA148CA"/>
    <w:rsid w:val="0C1165C4"/>
    <w:rsid w:val="0D6D544B"/>
    <w:rsid w:val="0DD136FE"/>
    <w:rsid w:val="0F542F2C"/>
    <w:rsid w:val="0F8E2C57"/>
    <w:rsid w:val="1059665E"/>
    <w:rsid w:val="10AC13BA"/>
    <w:rsid w:val="145A6C1B"/>
    <w:rsid w:val="14B73493"/>
    <w:rsid w:val="167A2FF9"/>
    <w:rsid w:val="1764587C"/>
    <w:rsid w:val="18581C69"/>
    <w:rsid w:val="1AEC0734"/>
    <w:rsid w:val="1BC65E20"/>
    <w:rsid w:val="1DEF20B0"/>
    <w:rsid w:val="1FF7AB17"/>
    <w:rsid w:val="214243FA"/>
    <w:rsid w:val="21AD613C"/>
    <w:rsid w:val="22467189"/>
    <w:rsid w:val="257A14F5"/>
    <w:rsid w:val="27196C26"/>
    <w:rsid w:val="29EF086F"/>
    <w:rsid w:val="2BC34C59"/>
    <w:rsid w:val="2EFFE297"/>
    <w:rsid w:val="301437CA"/>
    <w:rsid w:val="349D1F0A"/>
    <w:rsid w:val="34DD0473"/>
    <w:rsid w:val="3A8E35DC"/>
    <w:rsid w:val="3C684897"/>
    <w:rsid w:val="433E495C"/>
    <w:rsid w:val="489F2FD7"/>
    <w:rsid w:val="4AC27CB3"/>
    <w:rsid w:val="4BF72BEF"/>
    <w:rsid w:val="4FA90297"/>
    <w:rsid w:val="4FC41A43"/>
    <w:rsid w:val="51DB3C59"/>
    <w:rsid w:val="550C0952"/>
    <w:rsid w:val="55762E42"/>
    <w:rsid w:val="57A7B272"/>
    <w:rsid w:val="58470068"/>
    <w:rsid w:val="58747CAC"/>
    <w:rsid w:val="5A1720F9"/>
    <w:rsid w:val="5B9C37C2"/>
    <w:rsid w:val="5BA7C654"/>
    <w:rsid w:val="5CB65B6E"/>
    <w:rsid w:val="5DF716AE"/>
    <w:rsid w:val="5E84084D"/>
    <w:rsid w:val="5F9F507E"/>
    <w:rsid w:val="60A54109"/>
    <w:rsid w:val="61D01CDF"/>
    <w:rsid w:val="64C0607C"/>
    <w:rsid w:val="65756C86"/>
    <w:rsid w:val="674D385B"/>
    <w:rsid w:val="676F09E1"/>
    <w:rsid w:val="71691990"/>
    <w:rsid w:val="71793A80"/>
    <w:rsid w:val="7357290B"/>
    <w:rsid w:val="74654825"/>
    <w:rsid w:val="756E3DEA"/>
    <w:rsid w:val="76FB1693"/>
    <w:rsid w:val="798524E4"/>
    <w:rsid w:val="7A7F1C49"/>
    <w:rsid w:val="7B5B7AE6"/>
    <w:rsid w:val="7B7B6628"/>
    <w:rsid w:val="7BA7071E"/>
    <w:rsid w:val="7BDF6DA8"/>
    <w:rsid w:val="7C7EDC1A"/>
    <w:rsid w:val="7CCED98D"/>
    <w:rsid w:val="7D08410F"/>
    <w:rsid w:val="7DB96DED"/>
    <w:rsid w:val="7DD3AD81"/>
    <w:rsid w:val="7DFFF77E"/>
    <w:rsid w:val="7F53A862"/>
    <w:rsid w:val="7F7FE70F"/>
    <w:rsid w:val="7FDF365A"/>
    <w:rsid w:val="7FEC8BC6"/>
    <w:rsid w:val="7FFF772F"/>
    <w:rsid w:val="95F35EF6"/>
    <w:rsid w:val="9BFFD860"/>
    <w:rsid w:val="A77B4E4D"/>
    <w:rsid w:val="AC5F73DE"/>
    <w:rsid w:val="B5DDD2C8"/>
    <w:rsid w:val="B9DFABD9"/>
    <w:rsid w:val="BC0D83FC"/>
    <w:rsid w:val="BF3BDEFB"/>
    <w:rsid w:val="BFB7A454"/>
    <w:rsid w:val="C75F6086"/>
    <w:rsid w:val="C7F7ED2D"/>
    <w:rsid w:val="CFAF854E"/>
    <w:rsid w:val="D8D7928E"/>
    <w:rsid w:val="D8FE3136"/>
    <w:rsid w:val="DDDE60B7"/>
    <w:rsid w:val="DE9F6A22"/>
    <w:rsid w:val="DF4FCE6A"/>
    <w:rsid w:val="DFD6CE7C"/>
    <w:rsid w:val="DFE93440"/>
    <w:rsid w:val="DFEF5C84"/>
    <w:rsid w:val="E4FED278"/>
    <w:rsid w:val="EDAA365C"/>
    <w:rsid w:val="EDADFC12"/>
    <w:rsid w:val="F2FD229B"/>
    <w:rsid w:val="F65F79E2"/>
    <w:rsid w:val="F776A00A"/>
    <w:rsid w:val="F7F709E9"/>
    <w:rsid w:val="F7FF3690"/>
    <w:rsid w:val="F9BD3900"/>
    <w:rsid w:val="FBF76749"/>
    <w:rsid w:val="FC8B9876"/>
    <w:rsid w:val="FCBFBAB5"/>
    <w:rsid w:val="FEDFF218"/>
    <w:rsid w:val="FEDFFFFF"/>
    <w:rsid w:val="FFBF8D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unhideWhenUsed/>
    <w:qFormat/>
    <w:uiPriority w:val="1"/>
  </w:style>
  <w:style w:type="table" w:default="1" w:styleId="10">
    <w:name w:val="Normal Table"/>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1336.48</c:v>
                </c:pt>
                <c:pt idx="1">
                  <c:v>0</c:v>
                </c:pt>
                <c:pt idx="2">
                  <c:v>0</c:v>
                </c:pt>
                <c:pt idx="3">
                  <c:v>0</c:v>
                </c:pt>
                <c:pt idx="4">
                  <c:v>0</c:v>
                </c:pt>
                <c:pt idx="5">
                  <c:v>0</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ea31a22d-92a3-4dc5-a9a5-5bf3a0305c21}"/>
      </c:ext>
    </c:extLst>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0.03900372940115"/>
                  <c:y val="0.032827143610787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0389887693586102"/>
                  <c:y val="0.010511229510062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1263.7</c:v>
                </c:pt>
                <c:pt idx="1">
                  <c:v>169.74</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bb105a3c-d236-418c-9227-6b384e4e1d5a}"/>
      </c:ext>
    </c:extLst>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3366</Words>
  <Characters>3886</Characters>
  <Lines>44</Lines>
  <Paragraphs>12</Paragraphs>
  <TotalTime>0</TotalTime>
  <ScaleCrop>false</ScaleCrop>
  <LinksUpToDate>false</LinksUpToDate>
  <CharactersWithSpaces>3907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2017-07-13T07:16:00Z</dcterms:created>
  <dc:creator>常程</dc:creator>
  <cp:lastModifiedBy>嘻嘻</cp:lastModifiedBy>
  <cp:lastPrinted>2020-08-09T03:39:00Z</cp:lastPrinted>
  <dcterms:modified xsi:type="dcterms:W3CDTF">2025-09-25T01:04:24Z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847F709BDD0C43D5B75C58B7A6F3B94A_13</vt:lpwstr>
  </property>
  <property fmtid="{D5CDD505-2E9C-101B-9397-08002B2CF9AE}" pid="4" name="KSOTemplateDocerSaveRecord">
    <vt:lpwstr>eyJoZGlkIjoiZTA5NzE1NTJkNTJkMzk2MWM5YjUzZWIzYzI4NTMzNjgiLCJ1c2VySWQiOiI5MDc1MDUyNjgifQ==</vt:lpwstr>
  </property>
</Properties>
</file>