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1．主要职能：北京市大兴区教师进修学校隶属北京市大兴区教育委员会，主要职责是教师培训。</w:t>
      </w:r>
    </w:p>
    <w:p>
      <w:pPr>
        <w:snapToGrid w:val="0"/>
        <w:spacing w:line="520" w:lineRule="exact"/>
        <w:ind w:left="319" w:leftChars="152" w:firstLine="320" w:firstLineChars="100"/>
        <w:rPr>
          <w:rFonts w:ascii="仿宋_GB2312" w:hAnsi="仿宋" w:eastAsia="仿宋_GB2312"/>
          <w:sz w:val="32"/>
          <w:szCs w:val="32"/>
        </w:rPr>
      </w:pPr>
      <w:r>
        <w:rPr>
          <w:rFonts w:hint="eastAsia" w:ascii="仿宋_GB2312" w:hAnsi="仿宋" w:eastAsia="仿宋_GB2312"/>
          <w:sz w:val="32"/>
          <w:szCs w:val="32"/>
        </w:rPr>
        <w:t>2．机构情况：下设中小幼教研、师干训、数字研究中心、数字教育中心、科研、德育、课程中心等部门。</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11536.58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减少1420.07万元，同比下降11.53%。</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10891.6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减少1420.07万元，同比下降11.53%。</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10891.6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10891.6</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11536.58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减少1225.79万元，下降9.6%，其中：基本支</w:t>
      </w:r>
      <w:r>
        <w:rPr>
          <w:rFonts w:hint="eastAsia" w:ascii="仿宋_GB2312" w:eastAsia="仿宋_GB2312"/>
          <w:sz w:val="28"/>
          <w:szCs w:val="28"/>
          <w:highlight w:val="none"/>
        </w:rPr>
        <w:t>出</w:t>
      </w:r>
      <w:r>
        <w:rPr>
          <w:rFonts w:ascii="仿宋_GB2312" w:eastAsia="仿宋_GB2312"/>
          <w:sz w:val="28"/>
          <w:szCs w:val="28"/>
          <w:highlight w:val="none"/>
        </w:rPr>
        <w:t>9263.84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80.3</w:t>
      </w:r>
      <w:r>
        <w:rPr>
          <w:rFonts w:hint="eastAsia" w:ascii="仿宋_GB2312" w:eastAsia="仿宋_GB2312"/>
          <w:sz w:val="28"/>
          <w:szCs w:val="28"/>
          <w:highlight w:val="none"/>
        </w:rPr>
        <w:t>%；项目支出</w:t>
      </w:r>
      <w:r>
        <w:rPr>
          <w:rFonts w:ascii="仿宋_GB2312" w:eastAsia="仿宋_GB2312"/>
          <w:sz w:val="28"/>
          <w:szCs w:val="28"/>
          <w:highlight w:val="none"/>
        </w:rPr>
        <w:t>2272.74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19.7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11536.58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减少1420.07万元，同比下降11.53%。主要原因：一方面在职人员减少，人员经费减少；另一方面培训等项目经费收入减少。</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11536.58</w:t>
      </w:r>
      <w:r>
        <w:rPr>
          <w:rFonts w:hint="eastAsia" w:ascii="仿宋_GB2312" w:eastAsia="仿宋_GB2312"/>
          <w:sz w:val="28"/>
          <w:szCs w:val="28"/>
        </w:rPr>
        <w:t>万元，主要用于以下方面（按大类）：1.教育支出8813</w:t>
      </w:r>
      <w:r>
        <w:rPr>
          <w:rFonts w:ascii="仿宋_GB2312" w:eastAsia="仿宋_GB2312"/>
          <w:sz w:val="28"/>
          <w:szCs w:val="28"/>
        </w:rPr>
        <w:t>.</w:t>
      </w:r>
      <w:r>
        <w:rPr>
          <w:rFonts w:hint="eastAsia" w:ascii="仿宋_GB2312" w:eastAsia="仿宋_GB2312"/>
          <w:sz w:val="28"/>
          <w:szCs w:val="28"/>
        </w:rPr>
        <w:t>61万元，占本年财政拨款支出76.4%；2.社会保障和就业支出 1386</w:t>
      </w:r>
      <w:r>
        <w:rPr>
          <w:rFonts w:ascii="仿宋_GB2312" w:eastAsia="仿宋_GB2312"/>
          <w:sz w:val="28"/>
          <w:szCs w:val="28"/>
        </w:rPr>
        <w:t>.</w:t>
      </w:r>
      <w:r>
        <w:rPr>
          <w:rFonts w:hint="eastAsia" w:ascii="仿宋_GB2312" w:eastAsia="仿宋_GB2312"/>
          <w:sz w:val="28"/>
          <w:szCs w:val="28"/>
        </w:rPr>
        <w:t>9</w:t>
      </w:r>
      <w:r>
        <w:rPr>
          <w:rFonts w:ascii="仿宋_GB2312" w:eastAsia="仿宋_GB2312"/>
          <w:sz w:val="28"/>
          <w:szCs w:val="28"/>
        </w:rPr>
        <w:t>8</w:t>
      </w:r>
      <w:r>
        <w:rPr>
          <w:rFonts w:hint="eastAsia" w:ascii="仿宋_GB2312" w:eastAsia="仿宋_GB2312"/>
          <w:sz w:val="28"/>
          <w:szCs w:val="28"/>
        </w:rPr>
        <w:t>万元，占本年财政拨款支出12.02%；3.卫生健康支出691</w:t>
      </w:r>
      <w:r>
        <w:rPr>
          <w:rFonts w:ascii="仿宋_GB2312" w:eastAsia="仿宋_GB2312"/>
          <w:sz w:val="28"/>
          <w:szCs w:val="28"/>
        </w:rPr>
        <w:t>.</w:t>
      </w:r>
      <w:r>
        <w:rPr>
          <w:rFonts w:hint="eastAsia" w:ascii="仿宋_GB2312" w:eastAsia="仿宋_GB2312"/>
          <w:sz w:val="28"/>
          <w:szCs w:val="28"/>
        </w:rPr>
        <w:t>01万元，占本年财政拨款支出5.99%；4.住房保障支出644</w:t>
      </w:r>
      <w:r>
        <w:rPr>
          <w:rFonts w:ascii="仿宋_GB2312" w:eastAsia="仿宋_GB2312"/>
          <w:sz w:val="28"/>
          <w:szCs w:val="28"/>
        </w:rPr>
        <w:t>.</w:t>
      </w:r>
      <w:r>
        <w:rPr>
          <w:rFonts w:hint="eastAsia" w:ascii="仿宋_GB2312" w:eastAsia="仿宋_GB2312"/>
          <w:sz w:val="28"/>
          <w:szCs w:val="28"/>
        </w:rPr>
        <w:t>9</w:t>
      </w:r>
      <w:r>
        <w:rPr>
          <w:rFonts w:ascii="仿宋_GB2312" w:eastAsia="仿宋_GB2312"/>
          <w:sz w:val="28"/>
          <w:szCs w:val="28"/>
        </w:rPr>
        <w:t>9</w:t>
      </w:r>
      <w:r>
        <w:rPr>
          <w:rFonts w:hint="eastAsia" w:ascii="仿宋_GB2312" w:eastAsia="仿宋_GB2312"/>
          <w:sz w:val="28"/>
          <w:szCs w:val="28"/>
        </w:rPr>
        <w:t>万元，占本年财政拨款支出5.59%。</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rPr>
        <w:t>（</w:t>
      </w:r>
      <w:r>
        <w:rPr>
          <w:rFonts w:hint="eastAsia" w:ascii="仿宋_GB2312" w:eastAsia="仿宋_GB2312"/>
          <w:sz w:val="28"/>
          <w:szCs w:val="28"/>
          <w:highlight w:val="none"/>
        </w:rPr>
        <w:t>二）一般公共预算财政拨款支出决算具体情况</w:t>
      </w:r>
    </w:p>
    <w:p>
      <w:pPr>
        <w:widowControl/>
        <w:rPr>
          <w:rFonts w:hint="eastAsia" w:ascii="仿宋_GB2312" w:eastAsia="仿宋_GB2312"/>
          <w:color w:val="auto"/>
          <w:sz w:val="28"/>
          <w:szCs w:val="28"/>
          <w:highlight w:val="none"/>
        </w:rPr>
      </w:pPr>
      <w:r>
        <w:rPr>
          <w:rFonts w:hint="eastAsia" w:ascii="仿宋_GB2312" w:eastAsia="仿宋_GB2312"/>
          <w:sz w:val="28"/>
          <w:szCs w:val="28"/>
        </w:rPr>
        <w:t>1.“教育支出”（类）</w:t>
      </w:r>
      <w:r>
        <w:rPr>
          <w:rFonts w:hint="eastAsia" w:ascii="仿宋_GB2312" w:eastAsia="仿宋_GB2312"/>
          <w:color w:val="auto"/>
          <w:sz w:val="28"/>
          <w:szCs w:val="28"/>
        </w:rPr>
        <w:t>202</w:t>
      </w:r>
      <w:r>
        <w:rPr>
          <w:rFonts w:ascii="仿宋_GB2312" w:eastAsia="仿宋_GB2312"/>
          <w:color w:val="auto"/>
          <w:sz w:val="28"/>
          <w:szCs w:val="28"/>
        </w:rPr>
        <w:t>4</w:t>
      </w:r>
      <w:r>
        <w:rPr>
          <w:rFonts w:hint="eastAsia" w:ascii="仿宋_GB2312" w:eastAsia="仿宋_GB2312"/>
          <w:color w:val="auto"/>
          <w:sz w:val="28"/>
          <w:szCs w:val="28"/>
        </w:rPr>
        <w:t>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highlight w:val="none"/>
          <w:lang w:val="en-US" w:eastAsia="zh-CN"/>
        </w:rPr>
        <w:t>8775.49</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rPr>
        <w:t>8813</w:t>
      </w:r>
      <w:r>
        <w:rPr>
          <w:rFonts w:ascii="仿宋_GB2312" w:eastAsia="仿宋_GB2312"/>
          <w:color w:val="auto"/>
          <w:sz w:val="28"/>
          <w:szCs w:val="28"/>
        </w:rPr>
        <w:t>.</w:t>
      </w:r>
      <w:r>
        <w:rPr>
          <w:rFonts w:hint="eastAsia" w:ascii="仿宋_GB2312" w:eastAsia="仿宋_GB2312"/>
          <w:color w:val="auto"/>
          <w:sz w:val="28"/>
          <w:szCs w:val="28"/>
        </w:rPr>
        <w:t>61</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100.4</w:t>
      </w:r>
      <w:r>
        <w:rPr>
          <w:rFonts w:hint="eastAsia" w:ascii="仿宋_GB2312" w:eastAsia="仿宋_GB2312"/>
          <w:color w:val="auto"/>
          <w:sz w:val="28"/>
          <w:szCs w:val="28"/>
          <w:highlight w:val="none"/>
        </w:rPr>
        <w:t>%。</w:t>
      </w:r>
    </w:p>
    <w:p>
      <w:pPr>
        <w:widowControl/>
        <w:rPr>
          <w:rFonts w:ascii="仿宋_GB2312" w:eastAsia="仿宋_GB2312"/>
          <w:color w:val="auto"/>
          <w:sz w:val="28"/>
          <w:szCs w:val="28"/>
        </w:rPr>
      </w:pPr>
      <w:r>
        <w:rPr>
          <w:rFonts w:hint="eastAsia" w:ascii="仿宋_GB2312" w:eastAsia="仿宋_GB2312"/>
          <w:color w:val="auto"/>
          <w:sz w:val="28"/>
          <w:szCs w:val="28"/>
        </w:rPr>
        <w:t xml:space="preserve">其中： </w:t>
      </w:r>
    </w:p>
    <w:p>
      <w:pPr>
        <w:widowControl/>
        <w:rPr>
          <w:rFonts w:hint="default" w:ascii="仿宋_GB2312" w:eastAsia="仿宋_GB2312"/>
          <w:color w:val="auto"/>
          <w:sz w:val="28"/>
          <w:szCs w:val="28"/>
          <w:lang w:val="en-US" w:eastAsia="zh-CN"/>
        </w:rPr>
      </w:pPr>
      <w:r>
        <w:rPr>
          <w:rFonts w:hint="eastAsia" w:ascii="仿宋_GB2312" w:eastAsia="仿宋_GB2312"/>
          <w:color w:val="auto"/>
          <w:sz w:val="28"/>
          <w:szCs w:val="28"/>
        </w:rPr>
        <w:t>“小学教育”2024年度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rPr>
        <w:t>13.60</w:t>
      </w:r>
      <w:r>
        <w:rPr>
          <w:rFonts w:hint="eastAsia" w:ascii="仿宋_GB2312" w:eastAsia="仿宋_GB2312"/>
          <w:color w:val="auto"/>
          <w:sz w:val="28"/>
          <w:szCs w:val="28"/>
          <w:highlight w:val="none"/>
        </w:rPr>
        <w:t>万元。</w:t>
      </w:r>
      <w:r>
        <w:rPr>
          <w:rFonts w:hint="eastAsia" w:ascii="仿宋_GB2312" w:eastAsia="仿宋_GB2312"/>
          <w:color w:val="auto"/>
          <w:sz w:val="28"/>
          <w:szCs w:val="28"/>
        </w:rPr>
        <w:t>主要原因：为追加的小学教师人才库项目。</w:t>
      </w:r>
      <w:r>
        <w:rPr>
          <w:rFonts w:hint="eastAsia" w:ascii="仿宋_GB2312" w:eastAsia="仿宋_GB2312"/>
          <w:color w:val="auto"/>
          <w:sz w:val="28"/>
          <w:szCs w:val="28"/>
        </w:rPr>
        <w:cr/>
      </w:r>
      <w:r>
        <w:rPr>
          <w:rFonts w:hint="eastAsia" w:ascii="仿宋_GB2312" w:eastAsia="仿宋_GB2312"/>
          <w:color w:val="auto"/>
          <w:sz w:val="28"/>
          <w:szCs w:val="28"/>
        </w:rPr>
        <w:t>“初中教育”2024年度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rPr>
        <w:t>3.29</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rPr>
        <w:t>3.29万</w:t>
      </w:r>
      <w:r>
        <w:rPr>
          <w:rFonts w:hint="eastAsia" w:ascii="仿宋_GB2312" w:eastAsia="仿宋_GB2312"/>
          <w:color w:val="auto"/>
          <w:sz w:val="28"/>
          <w:szCs w:val="28"/>
          <w:highlight w:val="none"/>
        </w:rPr>
        <w:t>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本年度按要求完成支出。</w:t>
      </w:r>
    </w:p>
    <w:p>
      <w:pPr>
        <w:widowControl/>
        <w:rPr>
          <w:rFonts w:ascii="仿宋_GB2312" w:eastAsia="仿宋_GB2312"/>
          <w:color w:val="auto"/>
          <w:sz w:val="28"/>
          <w:szCs w:val="28"/>
        </w:rPr>
      </w:pPr>
      <w:r>
        <w:rPr>
          <w:rFonts w:hint="eastAsia" w:ascii="仿宋_GB2312" w:eastAsia="仿宋_GB2312"/>
          <w:color w:val="auto"/>
          <w:sz w:val="28"/>
          <w:szCs w:val="28"/>
        </w:rPr>
        <w:t>“其他普通教育支出”2024年度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lang w:val="en-US" w:eastAsia="zh-CN"/>
        </w:rPr>
        <w:t>2282.41</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rPr>
        <w:t>2160.7</w:t>
      </w:r>
      <w:r>
        <w:rPr>
          <w:rFonts w:ascii="仿宋_GB2312" w:eastAsia="仿宋_GB2312"/>
          <w:color w:val="auto"/>
          <w:sz w:val="28"/>
          <w:szCs w:val="28"/>
        </w:rPr>
        <w:t>8</w:t>
      </w:r>
      <w:r>
        <w:rPr>
          <w:rFonts w:hint="eastAsia" w:ascii="仿宋_GB2312" w:eastAsia="仿宋_GB2312"/>
          <w:color w:val="auto"/>
          <w:sz w:val="28"/>
          <w:szCs w:val="28"/>
        </w:rPr>
        <w:t>万</w:t>
      </w:r>
      <w:r>
        <w:rPr>
          <w:rFonts w:hint="eastAsia" w:ascii="仿宋_GB2312" w:eastAsia="仿宋_GB2312"/>
          <w:color w:val="auto"/>
          <w:sz w:val="28"/>
          <w:szCs w:val="28"/>
          <w:highlight w:val="none"/>
        </w:rPr>
        <w:t>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94.7</w:t>
      </w:r>
      <w:r>
        <w:rPr>
          <w:rFonts w:hint="eastAsia" w:ascii="仿宋_GB2312" w:eastAsia="仿宋_GB2312"/>
          <w:color w:val="auto"/>
          <w:sz w:val="28"/>
          <w:szCs w:val="28"/>
          <w:highlight w:val="none"/>
        </w:rPr>
        <w:t>%。</w:t>
      </w:r>
      <w:r>
        <w:rPr>
          <w:rFonts w:hint="eastAsia" w:ascii="仿宋_GB2312" w:eastAsia="仿宋_GB2312"/>
          <w:color w:val="auto"/>
          <w:sz w:val="28"/>
          <w:szCs w:val="28"/>
        </w:rPr>
        <w:t>主要原因：部分项目结算审计后，审减金额退回财政。</w:t>
      </w:r>
      <w:r>
        <w:rPr>
          <w:rFonts w:hint="eastAsia" w:ascii="仿宋_GB2312" w:eastAsia="仿宋_GB2312"/>
          <w:color w:val="auto"/>
          <w:sz w:val="28"/>
          <w:szCs w:val="28"/>
        </w:rPr>
        <w:cr/>
      </w:r>
      <w:r>
        <w:rPr>
          <w:rFonts w:hint="eastAsia" w:ascii="仿宋_GB2312" w:eastAsia="仿宋_GB2312"/>
          <w:color w:val="auto"/>
          <w:sz w:val="28"/>
          <w:szCs w:val="28"/>
        </w:rPr>
        <w:t>“教师进修”2024年度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lang w:val="en-US" w:eastAsia="zh-CN"/>
        </w:rPr>
        <w:t>6683.05</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rPr>
        <w:t>6586.78</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98.6</w:t>
      </w:r>
      <w:r>
        <w:rPr>
          <w:rFonts w:hint="eastAsia" w:ascii="仿宋_GB2312" w:eastAsia="仿宋_GB2312"/>
          <w:color w:val="auto"/>
          <w:sz w:val="28"/>
          <w:szCs w:val="28"/>
          <w:highlight w:val="none"/>
        </w:rPr>
        <w:t>%。</w:t>
      </w:r>
      <w:r>
        <w:rPr>
          <w:rFonts w:hint="eastAsia" w:ascii="仿宋_GB2312" w:eastAsia="仿宋_GB2312"/>
          <w:color w:val="auto"/>
          <w:sz w:val="28"/>
          <w:szCs w:val="28"/>
        </w:rPr>
        <w:t>主要原因：在职教师减少，人员工资减少。</w:t>
      </w:r>
      <w:r>
        <w:rPr>
          <w:rFonts w:hint="eastAsia" w:ascii="仿宋_GB2312" w:eastAsia="仿宋_GB2312"/>
          <w:color w:val="auto"/>
          <w:sz w:val="28"/>
          <w:szCs w:val="28"/>
        </w:rPr>
        <w:cr/>
      </w:r>
      <w:r>
        <w:rPr>
          <w:rFonts w:hint="eastAsia" w:ascii="仿宋_GB2312" w:eastAsia="仿宋_GB2312"/>
          <w:color w:val="auto"/>
          <w:sz w:val="28"/>
          <w:szCs w:val="28"/>
        </w:rPr>
        <w:t>“其他教育费附加安排的支出”2024年度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lang w:val="en-US" w:eastAsia="zh-CN"/>
        </w:rPr>
        <w:t>50</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rPr>
        <w:t>49.15</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98.3</w:t>
      </w:r>
      <w:r>
        <w:rPr>
          <w:rFonts w:hint="eastAsia" w:ascii="仿宋_GB2312" w:eastAsia="仿宋_GB2312"/>
          <w:color w:val="auto"/>
          <w:sz w:val="28"/>
          <w:szCs w:val="28"/>
          <w:highlight w:val="none"/>
        </w:rPr>
        <w:t>%。</w:t>
      </w:r>
      <w:r>
        <w:rPr>
          <w:rFonts w:hint="eastAsia" w:ascii="仿宋_GB2312" w:eastAsia="仿宋_GB2312"/>
          <w:color w:val="auto"/>
          <w:sz w:val="28"/>
          <w:szCs w:val="28"/>
        </w:rPr>
        <w:t>主要原因：部分项目结算审计后，审减金额退回财政。</w:t>
      </w:r>
      <w:r>
        <w:rPr>
          <w:rFonts w:hint="eastAsia" w:ascii="仿宋_GB2312" w:eastAsia="仿宋_GB2312"/>
          <w:color w:val="auto"/>
          <w:sz w:val="28"/>
          <w:szCs w:val="28"/>
        </w:rPr>
        <w:cr/>
      </w:r>
      <w:r>
        <w:rPr>
          <w:rFonts w:hint="eastAsia" w:ascii="仿宋_GB2312" w:eastAsia="仿宋_GB2312"/>
          <w:color w:val="auto"/>
          <w:sz w:val="28"/>
          <w:szCs w:val="28"/>
        </w:rPr>
        <w:t>2.“社会保障和就业支出”(类) 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highlight w:val="none"/>
          <w:lang w:val="en-US" w:eastAsia="zh-CN"/>
        </w:rPr>
        <w:t>1182.22</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rPr>
        <w:t>1386</w:t>
      </w:r>
      <w:r>
        <w:rPr>
          <w:rFonts w:ascii="仿宋_GB2312" w:eastAsia="仿宋_GB2312"/>
          <w:color w:val="auto"/>
          <w:sz w:val="28"/>
          <w:szCs w:val="28"/>
        </w:rPr>
        <w:t>.</w:t>
      </w:r>
      <w:r>
        <w:rPr>
          <w:rFonts w:hint="eastAsia" w:ascii="仿宋_GB2312" w:eastAsia="仿宋_GB2312"/>
          <w:color w:val="auto"/>
          <w:sz w:val="28"/>
          <w:szCs w:val="28"/>
        </w:rPr>
        <w:t>97</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117.3</w:t>
      </w:r>
      <w:r>
        <w:rPr>
          <w:rFonts w:hint="eastAsia" w:ascii="仿宋_GB2312" w:eastAsia="仿宋_GB2312"/>
          <w:color w:val="auto"/>
          <w:sz w:val="28"/>
          <w:szCs w:val="28"/>
          <w:highlight w:val="none"/>
        </w:rPr>
        <w:t>%。</w:t>
      </w:r>
    </w:p>
    <w:p>
      <w:pPr>
        <w:rPr>
          <w:rFonts w:ascii="仿宋_GB2312" w:eastAsia="仿宋_GB2312"/>
          <w:color w:val="auto"/>
          <w:sz w:val="28"/>
          <w:szCs w:val="28"/>
        </w:rPr>
      </w:pPr>
      <w:r>
        <w:rPr>
          <w:rFonts w:hint="eastAsia" w:ascii="仿宋_GB2312" w:eastAsia="仿宋_GB2312"/>
          <w:color w:val="auto"/>
          <w:sz w:val="28"/>
          <w:szCs w:val="28"/>
        </w:rPr>
        <w:t xml:space="preserve">其中： </w:t>
      </w:r>
    </w:p>
    <w:p>
      <w:pPr>
        <w:rPr>
          <w:rFonts w:ascii="仿宋_GB2312" w:eastAsia="仿宋_GB2312"/>
          <w:color w:val="auto"/>
          <w:sz w:val="28"/>
          <w:szCs w:val="28"/>
        </w:rPr>
      </w:pPr>
      <w:r>
        <w:rPr>
          <w:rFonts w:hint="eastAsia" w:ascii="仿宋_GB2312" w:eastAsia="仿宋_GB2312"/>
          <w:color w:val="auto"/>
          <w:sz w:val="28"/>
          <w:szCs w:val="28"/>
        </w:rPr>
        <w:t>“事业单位离退休”2024年度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highlight w:val="none"/>
          <w:lang w:val="en-US" w:eastAsia="zh-CN"/>
        </w:rPr>
        <w:t>222.21</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rPr>
        <w:t>408</w:t>
      </w:r>
      <w:r>
        <w:rPr>
          <w:rFonts w:ascii="仿宋_GB2312" w:eastAsia="仿宋_GB2312"/>
          <w:color w:val="auto"/>
          <w:sz w:val="28"/>
          <w:szCs w:val="28"/>
        </w:rPr>
        <w:t>.</w:t>
      </w:r>
      <w:r>
        <w:rPr>
          <w:rFonts w:hint="eastAsia" w:ascii="仿宋_GB2312" w:eastAsia="仿宋_GB2312"/>
          <w:color w:val="auto"/>
          <w:sz w:val="28"/>
          <w:szCs w:val="28"/>
        </w:rPr>
        <w:t>2</w:t>
      </w:r>
      <w:r>
        <w:rPr>
          <w:rFonts w:ascii="仿宋_GB2312" w:eastAsia="仿宋_GB2312"/>
          <w:color w:val="auto"/>
          <w:sz w:val="28"/>
          <w:szCs w:val="28"/>
        </w:rPr>
        <w:t>7</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183.7</w:t>
      </w:r>
      <w:r>
        <w:rPr>
          <w:rFonts w:hint="eastAsia" w:ascii="仿宋_GB2312" w:eastAsia="仿宋_GB2312"/>
          <w:color w:val="auto"/>
          <w:sz w:val="28"/>
          <w:szCs w:val="28"/>
          <w:highlight w:val="none"/>
        </w:rPr>
        <w:t>%。</w:t>
      </w:r>
      <w:r>
        <w:rPr>
          <w:rFonts w:hint="eastAsia" w:ascii="仿宋_GB2312" w:eastAsia="仿宋_GB2312"/>
          <w:color w:val="auto"/>
          <w:sz w:val="28"/>
          <w:szCs w:val="28"/>
        </w:rPr>
        <w:t>主要原因：本年新增退休教师，发放退休一次性补助；发放去世教师抚恤金。</w:t>
      </w:r>
    </w:p>
    <w:p>
      <w:pPr>
        <w:rPr>
          <w:rFonts w:ascii="仿宋_GB2312" w:eastAsia="仿宋_GB2312"/>
          <w:color w:val="auto"/>
          <w:sz w:val="28"/>
          <w:szCs w:val="28"/>
        </w:rPr>
      </w:pPr>
      <w:r>
        <w:rPr>
          <w:rFonts w:hint="eastAsia" w:ascii="仿宋_GB2312" w:eastAsia="仿宋_GB2312"/>
          <w:color w:val="auto"/>
          <w:sz w:val="28"/>
          <w:szCs w:val="28"/>
        </w:rPr>
        <w:t>“机关事业单位基本养老保险缴费支出”2024年度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highlight w:val="none"/>
          <w:lang w:val="en-US" w:eastAsia="zh-CN"/>
        </w:rPr>
        <w:t>638.56</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rPr>
        <w:t>652</w:t>
      </w:r>
      <w:r>
        <w:rPr>
          <w:rFonts w:ascii="仿宋_GB2312" w:eastAsia="仿宋_GB2312"/>
          <w:color w:val="auto"/>
          <w:sz w:val="28"/>
          <w:szCs w:val="28"/>
        </w:rPr>
        <w:t>.</w:t>
      </w:r>
      <w:r>
        <w:rPr>
          <w:rFonts w:hint="eastAsia" w:ascii="仿宋_GB2312" w:eastAsia="仿宋_GB2312"/>
          <w:color w:val="auto"/>
          <w:sz w:val="28"/>
          <w:szCs w:val="28"/>
        </w:rPr>
        <w:t>46</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102.2</w:t>
      </w:r>
      <w:r>
        <w:rPr>
          <w:rFonts w:hint="eastAsia" w:ascii="仿宋_GB2312" w:eastAsia="仿宋_GB2312"/>
          <w:color w:val="auto"/>
          <w:sz w:val="28"/>
          <w:szCs w:val="28"/>
          <w:highlight w:val="none"/>
        </w:rPr>
        <w:t>%。</w:t>
      </w:r>
      <w:r>
        <w:rPr>
          <w:rFonts w:hint="eastAsia" w:ascii="仿宋_GB2312" w:eastAsia="仿宋_GB2312"/>
          <w:color w:val="auto"/>
          <w:sz w:val="28"/>
          <w:szCs w:val="28"/>
        </w:rPr>
        <w:t>主要原因：调整社保基数，缴纳基本养老保险增多。</w:t>
      </w:r>
    </w:p>
    <w:p>
      <w:pPr>
        <w:rPr>
          <w:rFonts w:ascii="仿宋_GB2312" w:eastAsia="仿宋_GB2312"/>
          <w:color w:val="auto"/>
          <w:sz w:val="28"/>
          <w:szCs w:val="28"/>
        </w:rPr>
      </w:pPr>
      <w:r>
        <w:rPr>
          <w:rFonts w:hint="eastAsia" w:ascii="仿宋_GB2312" w:eastAsia="仿宋_GB2312"/>
          <w:color w:val="auto"/>
          <w:sz w:val="28"/>
          <w:szCs w:val="28"/>
        </w:rPr>
        <w:t>“机关事业单位职业年金缴费支出”2024年度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highlight w:val="none"/>
          <w:lang w:val="en-US" w:eastAsia="zh-CN"/>
        </w:rPr>
        <w:t>319.28</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rPr>
        <w:t>324</w:t>
      </w:r>
      <w:r>
        <w:rPr>
          <w:rFonts w:ascii="仿宋_GB2312" w:eastAsia="仿宋_GB2312"/>
          <w:color w:val="auto"/>
          <w:sz w:val="28"/>
          <w:szCs w:val="28"/>
        </w:rPr>
        <w:t>.</w:t>
      </w:r>
      <w:r>
        <w:rPr>
          <w:rFonts w:hint="eastAsia" w:ascii="仿宋_GB2312" w:eastAsia="仿宋_GB2312"/>
          <w:color w:val="auto"/>
          <w:sz w:val="28"/>
          <w:szCs w:val="28"/>
        </w:rPr>
        <w:t>07</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101.5</w:t>
      </w:r>
      <w:r>
        <w:rPr>
          <w:rFonts w:hint="eastAsia" w:ascii="仿宋_GB2312" w:eastAsia="仿宋_GB2312"/>
          <w:color w:val="auto"/>
          <w:sz w:val="28"/>
          <w:szCs w:val="28"/>
          <w:highlight w:val="none"/>
        </w:rPr>
        <w:t>%。</w:t>
      </w:r>
      <w:r>
        <w:rPr>
          <w:rFonts w:hint="eastAsia" w:ascii="仿宋_GB2312" w:eastAsia="仿宋_GB2312"/>
          <w:color w:val="auto"/>
          <w:sz w:val="28"/>
          <w:szCs w:val="28"/>
        </w:rPr>
        <w:t>主要原因：调整社保基数，缴纳职业年金增多。</w:t>
      </w:r>
    </w:p>
    <w:p>
      <w:pPr>
        <w:widowControl/>
        <w:rPr>
          <w:rFonts w:ascii="仿宋_GB2312" w:eastAsia="仿宋_GB2312"/>
          <w:color w:val="auto"/>
          <w:sz w:val="28"/>
          <w:szCs w:val="28"/>
        </w:rPr>
      </w:pPr>
      <w:r>
        <w:rPr>
          <w:rFonts w:hint="eastAsia" w:ascii="仿宋_GB2312" w:eastAsia="仿宋_GB2312"/>
          <w:color w:val="auto"/>
          <w:sz w:val="28"/>
          <w:szCs w:val="28"/>
        </w:rPr>
        <w:t>“其他行政事业单位养老支出”2024年度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rPr>
        <w:t>2</w:t>
      </w:r>
      <w:r>
        <w:rPr>
          <w:rFonts w:ascii="仿宋_GB2312" w:eastAsia="仿宋_GB2312"/>
          <w:color w:val="auto"/>
          <w:sz w:val="28"/>
          <w:szCs w:val="28"/>
        </w:rPr>
        <w:t>.</w:t>
      </w:r>
      <w:r>
        <w:rPr>
          <w:rFonts w:hint="eastAsia" w:ascii="仿宋_GB2312" w:eastAsia="仿宋_GB2312"/>
          <w:color w:val="auto"/>
          <w:sz w:val="28"/>
          <w:szCs w:val="28"/>
        </w:rPr>
        <w:t>17</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rPr>
        <w:t>2</w:t>
      </w:r>
      <w:r>
        <w:rPr>
          <w:rFonts w:ascii="仿宋_GB2312" w:eastAsia="仿宋_GB2312"/>
          <w:color w:val="auto"/>
          <w:sz w:val="28"/>
          <w:szCs w:val="28"/>
        </w:rPr>
        <w:t>.</w:t>
      </w:r>
      <w:r>
        <w:rPr>
          <w:rFonts w:hint="eastAsia" w:ascii="仿宋_GB2312" w:eastAsia="仿宋_GB2312"/>
          <w:color w:val="auto"/>
          <w:sz w:val="28"/>
          <w:szCs w:val="28"/>
        </w:rPr>
        <w:t>17</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本年度按要求完成支出。</w:t>
      </w:r>
      <w:bookmarkStart w:id="0" w:name="_GoBack"/>
      <w:bookmarkEnd w:id="0"/>
    </w:p>
    <w:p>
      <w:pPr>
        <w:widowControl/>
        <w:rPr>
          <w:rFonts w:ascii="仿宋_GB2312" w:eastAsia="仿宋_GB2312"/>
          <w:color w:val="auto"/>
          <w:sz w:val="28"/>
          <w:szCs w:val="28"/>
        </w:rPr>
      </w:pPr>
      <w:r>
        <w:rPr>
          <w:rFonts w:ascii="仿宋_GB2312" w:eastAsia="仿宋_GB2312"/>
          <w:color w:val="auto"/>
          <w:sz w:val="28"/>
          <w:szCs w:val="28"/>
        </w:rPr>
        <w:t>3</w:t>
      </w:r>
      <w:r>
        <w:rPr>
          <w:rFonts w:hint="eastAsia" w:ascii="仿宋_GB2312" w:eastAsia="仿宋_GB2312"/>
          <w:color w:val="auto"/>
          <w:sz w:val="28"/>
          <w:szCs w:val="28"/>
        </w:rPr>
        <w:t>.“卫生健康支出”(类) 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lang w:val="en-US" w:eastAsia="zh-CN"/>
        </w:rPr>
        <w:t>692.95</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ascii="仿宋_GB2312" w:eastAsia="仿宋_GB2312"/>
          <w:color w:val="auto"/>
          <w:sz w:val="28"/>
          <w:szCs w:val="28"/>
        </w:rPr>
        <w:t>691.01</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99.7</w:t>
      </w:r>
      <w:r>
        <w:rPr>
          <w:rFonts w:hint="eastAsia" w:ascii="仿宋_GB2312" w:eastAsia="仿宋_GB2312"/>
          <w:color w:val="auto"/>
          <w:sz w:val="28"/>
          <w:szCs w:val="28"/>
          <w:highlight w:val="none"/>
        </w:rPr>
        <w:t>%。</w:t>
      </w:r>
      <w:r>
        <w:rPr>
          <w:rFonts w:hint="eastAsia" w:ascii="仿宋_GB2312" w:eastAsia="仿宋_GB2312"/>
          <w:color w:val="auto"/>
          <w:sz w:val="28"/>
          <w:szCs w:val="28"/>
        </w:rPr>
        <w:t>主要原因为：本年调整社保基数。</w:t>
      </w:r>
    </w:p>
    <w:p>
      <w:pPr>
        <w:rPr>
          <w:rFonts w:ascii="仿宋_GB2312" w:eastAsia="仿宋_GB2312"/>
          <w:color w:val="auto"/>
          <w:sz w:val="28"/>
          <w:szCs w:val="28"/>
        </w:rPr>
      </w:pPr>
      <w:r>
        <w:rPr>
          <w:rFonts w:hint="eastAsia" w:ascii="仿宋_GB2312" w:eastAsia="仿宋_GB2312"/>
          <w:color w:val="auto"/>
          <w:sz w:val="28"/>
          <w:szCs w:val="28"/>
        </w:rPr>
        <w:t>其中：</w:t>
      </w:r>
    </w:p>
    <w:p>
      <w:pPr>
        <w:rPr>
          <w:rFonts w:ascii="仿宋_GB2312" w:eastAsia="仿宋_GB2312"/>
          <w:color w:val="auto"/>
          <w:sz w:val="28"/>
          <w:szCs w:val="28"/>
        </w:rPr>
      </w:pPr>
      <w:r>
        <w:rPr>
          <w:rFonts w:hint="eastAsia" w:ascii="仿宋_GB2312" w:eastAsia="仿宋_GB2312"/>
          <w:color w:val="auto"/>
          <w:sz w:val="28"/>
          <w:szCs w:val="28"/>
        </w:rPr>
        <w:t xml:space="preserve"> “事业单位医疗”2024年度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lang w:val="en-US" w:eastAsia="zh-CN"/>
        </w:rPr>
        <w:t>543.05</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rPr>
        <w:t>529.15</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97.4</w:t>
      </w:r>
      <w:r>
        <w:rPr>
          <w:rFonts w:hint="eastAsia" w:ascii="仿宋_GB2312" w:eastAsia="仿宋_GB2312"/>
          <w:color w:val="auto"/>
          <w:sz w:val="28"/>
          <w:szCs w:val="28"/>
          <w:highlight w:val="none"/>
        </w:rPr>
        <w:t>%。</w:t>
      </w:r>
      <w:r>
        <w:rPr>
          <w:rFonts w:hint="eastAsia" w:ascii="仿宋_GB2312" w:eastAsia="仿宋_GB2312"/>
          <w:color w:val="auto"/>
          <w:sz w:val="28"/>
          <w:szCs w:val="28"/>
        </w:rPr>
        <w:t>主要原因：调整社保基数，缴纳基事业单位医疗减少。</w:t>
      </w:r>
    </w:p>
    <w:p>
      <w:pPr>
        <w:rPr>
          <w:rFonts w:ascii="仿宋_GB2312" w:eastAsia="仿宋_GB2312"/>
          <w:color w:val="auto"/>
          <w:sz w:val="28"/>
          <w:szCs w:val="28"/>
        </w:rPr>
      </w:pPr>
      <w:r>
        <w:rPr>
          <w:rFonts w:hint="eastAsia" w:ascii="仿宋_GB2312" w:eastAsia="仿宋_GB2312"/>
          <w:color w:val="auto"/>
          <w:sz w:val="28"/>
          <w:szCs w:val="28"/>
        </w:rPr>
        <w:t>“公务员医疗补助”2024年度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lang w:val="en-US" w:eastAsia="zh-CN"/>
        </w:rPr>
        <w:t>162.41</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rPr>
        <w:t>161.8</w:t>
      </w:r>
      <w:r>
        <w:rPr>
          <w:rFonts w:ascii="仿宋_GB2312" w:eastAsia="仿宋_GB2312"/>
          <w:color w:val="auto"/>
          <w:sz w:val="28"/>
          <w:szCs w:val="28"/>
        </w:rPr>
        <w:t>6</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99.7</w:t>
      </w:r>
      <w:r>
        <w:rPr>
          <w:rFonts w:hint="eastAsia" w:ascii="仿宋_GB2312" w:eastAsia="仿宋_GB2312"/>
          <w:color w:val="auto"/>
          <w:sz w:val="28"/>
          <w:szCs w:val="28"/>
          <w:highlight w:val="none"/>
        </w:rPr>
        <w:t>%。</w:t>
      </w:r>
      <w:r>
        <w:rPr>
          <w:rFonts w:hint="eastAsia" w:ascii="仿宋_GB2312" w:eastAsia="仿宋_GB2312"/>
          <w:color w:val="auto"/>
          <w:sz w:val="28"/>
          <w:szCs w:val="28"/>
        </w:rPr>
        <w:t>主要原因：调整社保基数，缴纳公务员医疗补助减少。</w:t>
      </w:r>
    </w:p>
    <w:p>
      <w:pPr>
        <w:widowControl/>
        <w:numPr>
          <w:ilvl w:val="0"/>
          <w:numId w:val="1"/>
        </w:numPr>
        <w:rPr>
          <w:rFonts w:hint="eastAsia" w:ascii="仿宋_GB2312" w:eastAsia="仿宋_GB2312"/>
          <w:color w:val="auto"/>
          <w:sz w:val="28"/>
          <w:szCs w:val="28"/>
        </w:rPr>
      </w:pPr>
      <w:r>
        <w:rPr>
          <w:rFonts w:hint="eastAsia" w:ascii="仿宋_GB2312" w:eastAsia="仿宋_GB2312"/>
          <w:color w:val="auto"/>
          <w:sz w:val="28"/>
          <w:szCs w:val="28"/>
        </w:rPr>
        <w:t>“住房保障支出”(类) 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lang w:val="en-US" w:eastAsia="zh-CN"/>
        </w:rPr>
        <w:t>0</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rPr>
        <w:t>644.9</w:t>
      </w:r>
      <w:r>
        <w:rPr>
          <w:rFonts w:ascii="仿宋_GB2312" w:eastAsia="仿宋_GB2312"/>
          <w:color w:val="auto"/>
          <w:sz w:val="28"/>
          <w:szCs w:val="28"/>
        </w:rPr>
        <w:t>9</w:t>
      </w:r>
      <w:r>
        <w:rPr>
          <w:rFonts w:hint="eastAsia" w:ascii="仿宋_GB2312" w:eastAsia="仿宋_GB2312"/>
          <w:color w:val="auto"/>
          <w:sz w:val="28"/>
          <w:szCs w:val="28"/>
          <w:highlight w:val="none"/>
        </w:rPr>
        <w:t>万元</w:t>
      </w:r>
      <w:r>
        <w:rPr>
          <w:rFonts w:hint="eastAsia" w:ascii="仿宋_GB2312" w:eastAsia="仿宋_GB2312"/>
          <w:color w:val="auto"/>
          <w:sz w:val="28"/>
          <w:szCs w:val="28"/>
        </w:rPr>
        <w:t>。</w:t>
      </w:r>
    </w:p>
    <w:p>
      <w:pPr>
        <w:widowControl/>
        <w:numPr>
          <w:ilvl w:val="0"/>
          <w:numId w:val="0"/>
        </w:numPr>
        <w:rPr>
          <w:rFonts w:hint="eastAsia" w:ascii="仿宋_GB2312" w:eastAsia="仿宋_GB2312"/>
          <w:color w:val="auto"/>
          <w:sz w:val="28"/>
          <w:szCs w:val="28"/>
        </w:rPr>
      </w:pPr>
      <w:r>
        <w:rPr>
          <w:rFonts w:hint="eastAsia" w:ascii="仿宋_GB2312" w:eastAsia="仿宋_GB2312"/>
          <w:color w:val="auto"/>
          <w:sz w:val="28"/>
          <w:szCs w:val="28"/>
        </w:rPr>
        <w:t>其中：</w:t>
      </w:r>
    </w:p>
    <w:p>
      <w:pPr>
        <w:widowControl/>
        <w:numPr>
          <w:ilvl w:val="0"/>
          <w:numId w:val="0"/>
        </w:numPr>
        <w:rPr>
          <w:rFonts w:ascii="仿宋_GB2312" w:eastAsia="仿宋_GB2312"/>
          <w:color w:val="auto"/>
          <w:sz w:val="28"/>
          <w:szCs w:val="28"/>
        </w:rPr>
      </w:pPr>
      <w:r>
        <w:rPr>
          <w:rFonts w:hint="eastAsia" w:ascii="仿宋_GB2312" w:eastAsia="仿宋_GB2312"/>
          <w:color w:val="auto"/>
          <w:sz w:val="28"/>
          <w:szCs w:val="28"/>
        </w:rPr>
        <w:t xml:space="preserve"> “购房补贴”2024年度</w:t>
      </w:r>
      <w:r>
        <w:rPr>
          <w:rFonts w:hint="eastAsia" w:ascii="仿宋_GB2312" w:eastAsia="仿宋_GB2312"/>
          <w:color w:val="auto"/>
          <w:sz w:val="28"/>
          <w:szCs w:val="28"/>
          <w:highlight w:val="none"/>
        </w:rPr>
        <w:t>年初预算</w:t>
      </w:r>
      <w:r>
        <w:rPr>
          <w:rFonts w:hint="eastAsia" w:ascii="仿宋_GB2312" w:eastAsia="仿宋_GB2312"/>
          <w:color w:val="auto"/>
          <w:sz w:val="28"/>
          <w:szCs w:val="28"/>
          <w:lang w:val="en-US" w:eastAsia="zh-CN"/>
        </w:rPr>
        <w:t>0</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rPr>
        <w:t>644.9</w:t>
      </w:r>
      <w:r>
        <w:rPr>
          <w:rFonts w:ascii="仿宋_GB2312" w:eastAsia="仿宋_GB2312"/>
          <w:color w:val="auto"/>
          <w:sz w:val="28"/>
          <w:szCs w:val="28"/>
        </w:rPr>
        <w:t>9</w:t>
      </w:r>
      <w:r>
        <w:rPr>
          <w:rFonts w:hint="eastAsia" w:ascii="仿宋_GB2312" w:eastAsia="仿宋_GB2312"/>
          <w:color w:val="auto"/>
          <w:sz w:val="28"/>
          <w:szCs w:val="28"/>
          <w:highlight w:val="none"/>
        </w:rPr>
        <w:t>万元</w:t>
      </w:r>
      <w:r>
        <w:rPr>
          <w:rFonts w:hint="eastAsia" w:ascii="仿宋_GB2312" w:eastAsia="仿宋_GB2312"/>
          <w:color w:val="auto"/>
          <w:sz w:val="28"/>
          <w:szCs w:val="28"/>
        </w:rPr>
        <w:t>。主要原因为：本年追加补发以前年度住房补贴。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9263.84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10.7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24.5</w:t>
      </w:r>
      <w:r>
        <w:rPr>
          <w:rFonts w:hint="eastAsia" w:ascii="仿宋_GB2312" w:eastAsia="仿宋_GB2312"/>
          <w:sz w:val="28"/>
          <w:szCs w:val="28"/>
        </w:rPr>
        <w:t>万元减少1</w:t>
      </w:r>
      <w:r>
        <w:rPr>
          <w:rFonts w:ascii="仿宋_GB2312" w:eastAsia="仿宋_GB2312"/>
          <w:sz w:val="28"/>
          <w:szCs w:val="28"/>
        </w:rPr>
        <w:t>3.8</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增减无变化，保持一致</w:t>
      </w:r>
      <w:r>
        <w:rPr>
          <w:rFonts w:hint="eastAsia" w:ascii="仿宋_GB2312" w:eastAsia="仿宋_GB2312"/>
          <w:sz w:val="28"/>
          <w:szCs w:val="28"/>
        </w:rPr>
        <w:t>。主要原因：</w:t>
      </w:r>
      <w:r>
        <w:rPr>
          <w:rFonts w:hint="eastAsia" w:ascii="仿宋_GB2312" w:eastAsia="仿宋_GB2312"/>
          <w:sz w:val="28"/>
          <w:szCs w:val="28"/>
          <w:lang w:val="en-US" w:eastAsia="zh-CN"/>
        </w:rPr>
        <w:t>是因</w:t>
      </w:r>
      <w:r>
        <w:rPr>
          <w:rFonts w:hint="eastAsia" w:ascii="仿宋_GB2312" w:eastAsia="仿宋_GB2312"/>
          <w:sz w:val="28"/>
          <w:szCs w:val="28"/>
        </w:rPr>
        <w:t>公出国（境）费用</w:t>
      </w:r>
      <w:r>
        <w:rPr>
          <w:rFonts w:hint="eastAsia" w:ascii="仿宋_GB2312" w:eastAsia="仿宋_GB2312"/>
          <w:sz w:val="28"/>
          <w:szCs w:val="28"/>
          <w:lang w:val="en-US" w:eastAsia="zh-CN"/>
        </w:rPr>
        <w:t>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w:t>
      </w:r>
      <w:r>
        <w:rPr>
          <w:rFonts w:hint="eastAsia" w:ascii="仿宋_GB2312" w:eastAsia="仿宋_GB2312"/>
          <w:sz w:val="28"/>
          <w:szCs w:val="28"/>
          <w:lang w:val="en-US" w:eastAsia="zh-CN"/>
        </w:rPr>
        <w:t>费用主要用于</w:t>
      </w:r>
      <w:r>
        <w:rPr>
          <w:rFonts w:hint="eastAsia" w:ascii="仿宋_GB2312" w:eastAsia="仿宋_GB2312"/>
          <w:sz w:val="28"/>
          <w:szCs w:val="28"/>
        </w:rPr>
        <w:t>出国（境）</w:t>
      </w:r>
      <w:r>
        <w:rPr>
          <w:rFonts w:hint="eastAsia" w:ascii="仿宋_GB2312" w:eastAsia="仿宋_GB2312"/>
          <w:sz w:val="28"/>
          <w:szCs w:val="28"/>
          <w:lang w:val="en-US" w:eastAsia="zh-CN"/>
        </w:rPr>
        <w:t>的会议、培训交流等事项等，</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ind w:firstLine="560" w:firstLineChars="2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0.2</w:t>
      </w:r>
      <w:r>
        <w:rPr>
          <w:rFonts w:hint="eastAsia" w:ascii="仿宋_GB2312" w:eastAsia="仿宋_GB2312"/>
          <w:sz w:val="28"/>
          <w:szCs w:val="28"/>
        </w:rPr>
        <w:t>万元减少0</w:t>
      </w:r>
      <w:r>
        <w:rPr>
          <w:rFonts w:ascii="仿宋_GB2312" w:eastAsia="仿宋_GB2312"/>
          <w:sz w:val="28"/>
          <w:szCs w:val="28"/>
        </w:rPr>
        <w:t>.2</w:t>
      </w:r>
      <w:r>
        <w:rPr>
          <w:rFonts w:hint="eastAsia" w:ascii="仿宋_GB2312" w:eastAsia="仿宋_GB2312"/>
          <w:sz w:val="28"/>
          <w:szCs w:val="28"/>
        </w:rPr>
        <w:t>万元。主要原因：本年度未发生公务招待。202</w:t>
      </w:r>
      <w:r>
        <w:rPr>
          <w:rFonts w:hint="eastAsia" w:ascii="仿宋_GB2312" w:eastAsia="仿宋_GB2312"/>
          <w:sz w:val="28"/>
          <w:szCs w:val="28"/>
          <w:lang w:val="en-US" w:eastAsia="zh-CN"/>
        </w:rPr>
        <w:t>4</w:t>
      </w:r>
      <w:r>
        <w:rPr>
          <w:rFonts w:hint="eastAsia" w:ascii="仿宋_GB2312" w:eastAsia="仿宋_GB2312"/>
          <w:sz w:val="28"/>
          <w:szCs w:val="28"/>
        </w:rPr>
        <w:t>年度公务接待</w:t>
      </w:r>
      <w:r>
        <w:rPr>
          <w:rFonts w:hint="eastAsia" w:ascii="仿宋_GB2312" w:eastAsia="仿宋_GB2312"/>
          <w:sz w:val="28"/>
          <w:szCs w:val="28"/>
          <w:lang w:val="en-US" w:eastAsia="zh-CN"/>
        </w:rPr>
        <w:t>费主要用于公务接待事项。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10.70</w:t>
      </w:r>
      <w:r>
        <w:rPr>
          <w:rFonts w:hint="eastAsia" w:ascii="仿宋_GB2312" w:eastAsia="仿宋_GB2312"/>
          <w:sz w:val="28"/>
          <w:szCs w:val="28"/>
        </w:rPr>
        <w:t>万元，比2024年度年初预算数</w:t>
      </w:r>
      <w:r>
        <w:rPr>
          <w:rFonts w:ascii="仿宋_GB2312" w:eastAsia="仿宋_GB2312"/>
          <w:sz w:val="28"/>
          <w:szCs w:val="28"/>
        </w:rPr>
        <w:t>24.30</w:t>
      </w:r>
      <w:r>
        <w:rPr>
          <w:rFonts w:hint="eastAsia" w:ascii="仿宋_GB2312" w:eastAsia="仿宋_GB2312"/>
          <w:sz w:val="28"/>
          <w:szCs w:val="28"/>
        </w:rPr>
        <w:t>万元减少1</w:t>
      </w:r>
      <w:r>
        <w:rPr>
          <w:rFonts w:ascii="仿宋_GB2312" w:eastAsia="仿宋_GB2312"/>
          <w:sz w:val="28"/>
          <w:szCs w:val="28"/>
        </w:rPr>
        <w:t>3.6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本年度未发生公车购置</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10.70</w:t>
      </w:r>
      <w:r>
        <w:rPr>
          <w:rFonts w:hint="eastAsia" w:ascii="仿宋_GB2312" w:eastAsia="仿宋_GB2312"/>
          <w:sz w:val="28"/>
          <w:szCs w:val="28"/>
        </w:rPr>
        <w:t>万元，主要原因：</w:t>
      </w:r>
      <w:r>
        <w:rPr>
          <w:rFonts w:hint="eastAsia" w:ascii="仿宋_GB2312" w:eastAsia="仿宋_GB2312"/>
          <w:sz w:val="28"/>
          <w:szCs w:val="28"/>
          <w:lang w:val="en-US" w:eastAsia="zh-CN"/>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7</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60" w:firstLineChars="200"/>
        <w:rPr>
          <w:rFonts w:hint="eastAsia"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1037.49</w:t>
      </w:r>
      <w:r>
        <w:rPr>
          <w:rFonts w:hint="eastAsia" w:ascii="仿宋_GB2312" w:eastAsia="仿宋_GB2312"/>
          <w:sz w:val="28"/>
          <w:szCs w:val="28"/>
        </w:rPr>
        <w:t>万元，其中：政府采购货物支出</w:t>
      </w:r>
      <w:r>
        <w:rPr>
          <w:rFonts w:ascii="仿宋_GB2312" w:eastAsia="仿宋_GB2312"/>
          <w:sz w:val="28"/>
          <w:szCs w:val="28"/>
        </w:rPr>
        <w:t>4.70</w:t>
      </w:r>
      <w:r>
        <w:rPr>
          <w:rFonts w:hint="eastAsia" w:ascii="仿宋_GB2312" w:eastAsia="仿宋_GB2312"/>
          <w:sz w:val="28"/>
          <w:szCs w:val="28"/>
        </w:rPr>
        <w:t>万元，政府采购工程支出</w:t>
      </w:r>
      <w:r>
        <w:rPr>
          <w:rFonts w:ascii="仿宋_GB2312" w:eastAsia="仿宋_GB2312"/>
          <w:sz w:val="28"/>
          <w:szCs w:val="28"/>
        </w:rPr>
        <w:t>226.31</w:t>
      </w:r>
      <w:r>
        <w:rPr>
          <w:rFonts w:hint="eastAsia" w:ascii="仿宋_GB2312" w:eastAsia="仿宋_GB2312"/>
          <w:sz w:val="28"/>
          <w:szCs w:val="28"/>
        </w:rPr>
        <w:t>万元，政府采购服务支出</w:t>
      </w:r>
      <w:r>
        <w:rPr>
          <w:rFonts w:ascii="仿宋_GB2312" w:eastAsia="仿宋_GB2312"/>
          <w:sz w:val="28"/>
          <w:szCs w:val="28"/>
        </w:rPr>
        <w:t>806.49</w:t>
      </w:r>
      <w:r>
        <w:rPr>
          <w:rFonts w:hint="eastAsia" w:ascii="仿宋_GB2312" w:eastAsia="仿宋_GB2312"/>
          <w:sz w:val="28"/>
          <w:szCs w:val="28"/>
        </w:rPr>
        <w:t>万元。授予中小企业合同金额</w:t>
      </w:r>
      <w:r>
        <w:rPr>
          <w:rFonts w:ascii="仿宋_GB2312" w:eastAsia="仿宋_GB2312"/>
          <w:sz w:val="28"/>
          <w:szCs w:val="28"/>
        </w:rPr>
        <w:t>805.79</w:t>
      </w:r>
      <w:r>
        <w:rPr>
          <w:rFonts w:hint="eastAsia" w:ascii="仿宋_GB2312" w:eastAsia="仿宋_GB2312"/>
          <w:sz w:val="28"/>
          <w:szCs w:val="28"/>
        </w:rPr>
        <w:t>万元，占政府采购支出总额的</w:t>
      </w:r>
      <w:r>
        <w:rPr>
          <w:rFonts w:hint="eastAsia" w:ascii="仿宋_GB2312" w:eastAsia="仿宋_GB2312"/>
          <w:sz w:val="28"/>
          <w:szCs w:val="28"/>
          <w:lang w:eastAsia="zh-CN"/>
        </w:rPr>
        <w:t>77.67</w:t>
      </w:r>
      <w:r>
        <w:rPr>
          <w:rFonts w:hint="eastAsia" w:ascii="仿宋_GB2312" w:eastAsia="仿宋_GB2312"/>
          <w:sz w:val="28"/>
          <w:szCs w:val="28"/>
        </w:rPr>
        <w:t>%，其中：授予小微企业合同金额</w:t>
      </w:r>
      <w:r>
        <w:rPr>
          <w:rFonts w:ascii="仿宋_GB2312" w:eastAsia="仿宋_GB2312"/>
          <w:sz w:val="28"/>
          <w:szCs w:val="28"/>
        </w:rPr>
        <w:t>766.66</w:t>
      </w:r>
      <w:r>
        <w:rPr>
          <w:rFonts w:hint="eastAsia" w:ascii="仿宋_GB2312" w:eastAsia="仿宋_GB2312"/>
          <w:sz w:val="28"/>
          <w:szCs w:val="28"/>
        </w:rPr>
        <w:t>万元，占政府采购支出总额的</w:t>
      </w:r>
      <w:r>
        <w:rPr>
          <w:rFonts w:ascii="仿宋_GB2312" w:eastAsia="仿宋_GB2312"/>
          <w:sz w:val="28"/>
          <w:szCs w:val="28"/>
        </w:rPr>
        <w:t>73.9</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12月31日，北京市大兴区教师进修学校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7</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7.教育支出（类）普通教育（款）小学教育支出（项）：反映各部门举办的小学教育支出。政府各部门对社会组织等举办的小学的资助，如捐赠、补贴等，也在本科目中反映。</w:t>
      </w:r>
    </w:p>
    <w:p>
      <w:pPr>
        <w:ind w:firstLine="420" w:firstLineChars="150"/>
        <w:rPr>
          <w:rFonts w:hint="eastAsia" w:ascii="仿宋_GB2312" w:eastAsia="仿宋_GB2312"/>
          <w:sz w:val="28"/>
          <w:szCs w:val="28"/>
        </w:rPr>
      </w:pPr>
      <w:r>
        <w:rPr>
          <w:rFonts w:hint="eastAsia" w:ascii="仿宋_GB2312" w:eastAsia="仿宋_GB2312"/>
          <w:sz w:val="28"/>
          <w:szCs w:val="28"/>
        </w:rPr>
        <w:t>8.教育支出（类）普通教育（款）初中教育支出（项）：反映各部门举办的初中教育支出。政府各部门对社会组织等中反映举办的初中的资助，如捐赠、补贴等，也在本科目中反映。</w:t>
      </w:r>
    </w:p>
    <w:p>
      <w:pPr>
        <w:ind w:firstLine="420" w:firstLineChars="150"/>
        <w:rPr>
          <w:rFonts w:ascii="仿宋_GB2312" w:eastAsia="仿宋_GB2312"/>
          <w:sz w:val="28"/>
          <w:szCs w:val="28"/>
        </w:rPr>
      </w:pPr>
      <w:r>
        <w:rPr>
          <w:rFonts w:hint="eastAsia" w:ascii="仿宋_GB2312" w:eastAsia="仿宋_GB2312"/>
          <w:sz w:val="28"/>
          <w:szCs w:val="28"/>
        </w:rPr>
        <w:t>9.教育支出（类）普通教育（款）高中教育支出（项）：反映各部门举办的普通高中教育支出。政府各部门对社会组织等举办的普通高中的资助，如捐赠、补贴等，也在本科目中反映。</w:t>
      </w:r>
    </w:p>
    <w:p>
      <w:pPr>
        <w:ind w:firstLine="420" w:firstLineChars="150"/>
        <w:rPr>
          <w:rFonts w:hint="eastAsia" w:ascii="仿宋_GB2312" w:eastAsia="仿宋_GB2312"/>
          <w:sz w:val="28"/>
          <w:szCs w:val="28"/>
        </w:rPr>
      </w:pPr>
      <w:r>
        <w:rPr>
          <w:rFonts w:hint="eastAsia" w:ascii="仿宋_GB2312" w:eastAsia="仿宋_GB2312"/>
          <w:sz w:val="28"/>
          <w:szCs w:val="28"/>
        </w:rPr>
        <w:t>10.教育支出（类）普通教育（款）其他普通教育支出（项）：反映其他用于普通教育方面的支出。</w:t>
      </w:r>
    </w:p>
    <w:p>
      <w:pPr>
        <w:ind w:firstLine="420" w:firstLineChars="150"/>
        <w:rPr>
          <w:rFonts w:hint="eastAsia" w:ascii="仿宋_GB2312" w:eastAsia="仿宋_GB2312"/>
          <w:sz w:val="28"/>
          <w:szCs w:val="28"/>
        </w:rPr>
      </w:pPr>
      <w:r>
        <w:rPr>
          <w:rFonts w:hint="eastAsia" w:ascii="仿宋_GB2312" w:eastAsia="仿宋_GB2312"/>
          <w:sz w:val="28"/>
          <w:szCs w:val="28"/>
        </w:rPr>
        <w:t>11.教育支出（类）进修及培训（款）教师进修支出（项）：反映教师进修、师资培训支出。</w:t>
      </w:r>
    </w:p>
    <w:p>
      <w:pPr>
        <w:ind w:firstLine="420" w:firstLineChars="150"/>
        <w:rPr>
          <w:rFonts w:ascii="仿宋_GB2312" w:eastAsia="仿宋_GB2312"/>
          <w:sz w:val="28"/>
          <w:szCs w:val="28"/>
        </w:rPr>
      </w:pPr>
      <w:r>
        <w:rPr>
          <w:rFonts w:hint="eastAsia" w:ascii="仿宋_GB2312" w:eastAsia="仿宋_GB2312"/>
          <w:sz w:val="28"/>
          <w:szCs w:val="28"/>
        </w:rPr>
        <w:t>12.教育支出（类）教育费附加安排的支出（款）其他教育费附加安排的支出（项）：反映除上述项目以外的教育费附加支出。</w:t>
      </w:r>
    </w:p>
    <w:p>
      <w:pPr>
        <w:ind w:firstLine="420" w:firstLineChars="150"/>
        <w:rPr>
          <w:rFonts w:hint="eastAsia" w:ascii="仿宋_GB2312" w:eastAsia="仿宋_GB2312"/>
          <w:sz w:val="28"/>
          <w:szCs w:val="28"/>
        </w:rPr>
      </w:pPr>
      <w:r>
        <w:rPr>
          <w:rFonts w:hint="eastAsia" w:ascii="仿宋_GB2312" w:eastAsia="仿宋_GB2312"/>
          <w:sz w:val="28"/>
          <w:szCs w:val="28"/>
        </w:rPr>
        <w:t>13.社会保障和就业支出（类）行政事业单位养老支出（款）机事业单位离退休（项）：反映事业单位开支的离退休经费。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rPr>
        <w:t>14.社会保障和就业支出（类）行政事业单位养老支出（款）机关事业单位基本养老保险缴费支出（项）：反映机关事业单位实施养老保险制度由单位缴纳的基本养老保险费支出。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eastAsia="仿宋_GB2312"/>
          <w:sz w:val="28"/>
          <w:szCs w:val="28"/>
        </w:rPr>
      </w:pPr>
      <w:r>
        <w:rPr>
          <w:rFonts w:hint="eastAsia" w:ascii="仿宋_GB2312" w:eastAsia="仿宋_GB2312"/>
          <w:sz w:val="28"/>
          <w:szCs w:val="28"/>
        </w:rPr>
        <w:t>15.社会保障和就业支出（类）行政事业单位养老支出（款）机关事业单位基本职业年金缴费支出（项）：反映机关事业单位实施养老保险制度由单位实际缴纳的职业年金支出（含职业年金补记支出）。</w:t>
      </w:r>
    </w:p>
    <w:p>
      <w:pPr>
        <w:ind w:firstLine="420" w:firstLineChars="150"/>
        <w:rPr>
          <w:rFonts w:hint="eastAsia" w:ascii="仿宋_GB2312" w:eastAsia="仿宋_GB2312"/>
          <w:sz w:val="28"/>
          <w:szCs w:val="28"/>
        </w:rPr>
      </w:pPr>
      <w:r>
        <w:rPr>
          <w:rFonts w:hint="eastAsia" w:ascii="仿宋_GB2312" w:eastAsia="仿宋_GB2312"/>
          <w:sz w:val="28"/>
          <w:szCs w:val="28"/>
        </w:rPr>
        <w:t>16.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rPr>
      </w:pPr>
      <w:r>
        <w:rPr>
          <w:rFonts w:hint="eastAsia" w:ascii="仿宋_GB2312" w:eastAsia="仿宋_GB2312"/>
          <w:sz w:val="28"/>
          <w:szCs w:val="28"/>
        </w:rPr>
        <w:t>17.卫生健康支出（类）行政事业单位医疗（款）公务员医疗补助（项）：反映财政部门安排的公务员医疗补助经费。</w:t>
      </w:r>
    </w:p>
    <w:p>
      <w:pPr>
        <w:ind w:firstLine="420" w:firstLineChars="150"/>
        <w:rPr>
          <w:rFonts w:hint="eastAsia" w:ascii="仿宋_GB2312" w:eastAsia="仿宋_GB2312"/>
          <w:sz w:val="28"/>
          <w:szCs w:val="28"/>
        </w:rPr>
      </w:pPr>
      <w:r>
        <w:rPr>
          <w:rFonts w:hint="eastAsia" w:ascii="仿宋_GB2312" w:eastAsia="仿宋_GB2312"/>
          <w:sz w:val="28"/>
          <w:szCs w:val="28"/>
        </w:rPr>
        <w:t>18.城乡社区支出（类）其他城乡社区支出（款）其他城乡社区支出（项）：反映其他用于城乡社区方面的支出。</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pStyle w:val="2"/>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spacing w:line="480" w:lineRule="exact"/>
        <w:jc w:val="center"/>
        <w:rPr>
          <w:rFonts w:hint="default" w:eastAsia="宋体"/>
          <w:lang w:val="en-US" w:eastAsia="zh-CN"/>
        </w:rPr>
      </w:pPr>
      <w:r>
        <w:rPr>
          <w:rFonts w:hint="eastAsia" w:ascii="黑体" w:eastAsia="黑体"/>
          <w:sz w:val="28"/>
          <w:szCs w:val="28"/>
          <w:lang w:val="en-US" w:eastAsia="zh-CN"/>
        </w:rPr>
        <w:t>项目支出绩效自评表（详见附件）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65C6E8"/>
    <w:multiLevelType w:val="singleLevel"/>
    <w:tmpl w:val="B465C6E8"/>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AC938D6"/>
    <w:rsid w:val="2BC34C59"/>
    <w:rsid w:val="2D8A338B"/>
    <w:rsid w:val="2EFFE297"/>
    <w:rsid w:val="301437CA"/>
    <w:rsid w:val="302713EA"/>
    <w:rsid w:val="349D1F0A"/>
    <w:rsid w:val="34DD0473"/>
    <w:rsid w:val="3A8E35DC"/>
    <w:rsid w:val="3C684897"/>
    <w:rsid w:val="3CE42EA1"/>
    <w:rsid w:val="433E495C"/>
    <w:rsid w:val="489F2FD7"/>
    <w:rsid w:val="4AC27CB3"/>
    <w:rsid w:val="4BBD4965"/>
    <w:rsid w:val="4BF72BEF"/>
    <w:rsid w:val="4FA90297"/>
    <w:rsid w:val="4FC41A43"/>
    <w:rsid w:val="4FD67A67"/>
    <w:rsid w:val="51DB3C59"/>
    <w:rsid w:val="545A71FF"/>
    <w:rsid w:val="550C0952"/>
    <w:rsid w:val="55762E42"/>
    <w:rsid w:val="57A7B272"/>
    <w:rsid w:val="58470068"/>
    <w:rsid w:val="58747CAC"/>
    <w:rsid w:val="5A1720F9"/>
    <w:rsid w:val="5B9C37C2"/>
    <w:rsid w:val="5BA7C654"/>
    <w:rsid w:val="5D242A54"/>
    <w:rsid w:val="5DF716AE"/>
    <w:rsid w:val="5F9F507E"/>
    <w:rsid w:val="60A54109"/>
    <w:rsid w:val="61D01CDF"/>
    <w:rsid w:val="64C0607C"/>
    <w:rsid w:val="65756C86"/>
    <w:rsid w:val="674D385B"/>
    <w:rsid w:val="676F09E1"/>
    <w:rsid w:val="68B77F6B"/>
    <w:rsid w:val="71691990"/>
    <w:rsid w:val="71793A80"/>
    <w:rsid w:val="7357290B"/>
    <w:rsid w:val="756E3DEA"/>
    <w:rsid w:val="7634617E"/>
    <w:rsid w:val="76FB1693"/>
    <w:rsid w:val="798524E4"/>
    <w:rsid w:val="799E0A3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10891.6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9263.84</c:v>
                </c:pt>
                <c:pt idx="1">
                  <c:v>2272.74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268</Words>
  <Characters>286</Characters>
  <Lines>44</Lines>
  <Paragraphs>12</Paragraphs>
  <TotalTime>1</TotalTime>
  <ScaleCrop>false</ScaleCrop>
  <LinksUpToDate>false</LinksUpToDate>
  <CharactersWithSpaces>298</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2025-07-16T00:51:11Z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