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92798">
      <w:pPr>
        <w:jc w:val="center"/>
        <w:rPr>
          <w:rFonts w:ascii="仿宋_GB2312" w:eastAsia="仿宋_GB2312"/>
          <w:b/>
          <w:sz w:val="32"/>
          <w:szCs w:val="32"/>
        </w:rPr>
      </w:pPr>
    </w:p>
    <w:p w14:paraId="349AB04A">
      <w:pPr>
        <w:jc w:val="center"/>
        <w:rPr>
          <w:rFonts w:ascii="黑体" w:eastAsia="黑体"/>
          <w:sz w:val="72"/>
          <w:szCs w:val="72"/>
        </w:rPr>
      </w:pPr>
    </w:p>
    <w:p w14:paraId="11C2904C">
      <w:pPr>
        <w:jc w:val="center"/>
        <w:rPr>
          <w:rFonts w:ascii="黑体" w:eastAsia="黑体"/>
          <w:sz w:val="72"/>
          <w:szCs w:val="72"/>
        </w:rPr>
      </w:pPr>
    </w:p>
    <w:p w14:paraId="7BEC1BB7">
      <w:pPr>
        <w:jc w:val="center"/>
        <w:rPr>
          <w:rFonts w:ascii="黑体" w:eastAsia="黑体"/>
          <w:sz w:val="72"/>
          <w:szCs w:val="72"/>
        </w:rPr>
      </w:pPr>
    </w:p>
    <w:p w14:paraId="19ECF1EB">
      <w:pPr>
        <w:jc w:val="center"/>
        <w:rPr>
          <w:rFonts w:ascii="黑体" w:eastAsia="黑体"/>
          <w:sz w:val="72"/>
          <w:szCs w:val="72"/>
        </w:rPr>
      </w:pPr>
    </w:p>
    <w:p w14:paraId="2AEC22CF">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56BD7386">
      <w:pPr>
        <w:jc w:val="center"/>
        <w:rPr>
          <w:rFonts w:ascii="黑体" w:eastAsia="黑体"/>
          <w:sz w:val="52"/>
          <w:szCs w:val="52"/>
        </w:rPr>
      </w:pPr>
    </w:p>
    <w:p w14:paraId="0D10B349">
      <w:pPr>
        <w:jc w:val="center"/>
        <w:rPr>
          <w:rFonts w:ascii="黑体" w:eastAsia="黑体"/>
          <w:sz w:val="52"/>
          <w:szCs w:val="52"/>
        </w:rPr>
      </w:pPr>
    </w:p>
    <w:p w14:paraId="6251277B">
      <w:pPr>
        <w:jc w:val="center"/>
        <w:rPr>
          <w:rFonts w:ascii="黑体" w:eastAsia="黑体"/>
          <w:sz w:val="52"/>
          <w:szCs w:val="52"/>
        </w:rPr>
      </w:pPr>
    </w:p>
    <w:p w14:paraId="2D603686">
      <w:pPr>
        <w:jc w:val="center"/>
        <w:rPr>
          <w:rFonts w:ascii="黑体" w:eastAsia="黑体"/>
          <w:sz w:val="52"/>
          <w:szCs w:val="52"/>
        </w:rPr>
      </w:pPr>
    </w:p>
    <w:p w14:paraId="00EBA9E9">
      <w:pPr>
        <w:jc w:val="center"/>
        <w:rPr>
          <w:rFonts w:ascii="黑体" w:eastAsia="黑体"/>
          <w:sz w:val="32"/>
          <w:szCs w:val="32"/>
        </w:rPr>
      </w:pPr>
    </w:p>
    <w:p w14:paraId="43C6CE99">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3570F4D">
      <w:pPr>
        <w:spacing w:line="500" w:lineRule="exact"/>
        <w:ind w:firstLine="645"/>
        <w:jc w:val="center"/>
        <w:rPr>
          <w:rFonts w:ascii="宋体" w:hAnsi="宋体" w:cs="宋体"/>
          <w:b/>
          <w:bCs/>
          <w:kern w:val="0"/>
          <w:sz w:val="36"/>
          <w:szCs w:val="36"/>
        </w:rPr>
      </w:pPr>
    </w:p>
    <w:p w14:paraId="32BA9BC1">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1F15BA51">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EE803D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189B2E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B643D7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39BB92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805A32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7D92BCF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5F60E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8D81E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66D465E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C41F50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1346B62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300B691F">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0C10AEFD">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4EC85142">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25E46041">
      <w:pPr>
        <w:tabs>
          <w:tab w:val="center" w:pos="6979"/>
        </w:tabs>
        <w:spacing w:before="156" w:beforeLines="50" w:after="156" w:afterLines="50"/>
        <w:jc w:val="center"/>
        <w:rPr>
          <w:rFonts w:ascii="宋体" w:hAnsi="宋体" w:cs="宋体"/>
          <w:b/>
          <w:bCs/>
          <w:spacing w:val="40"/>
          <w:kern w:val="0"/>
          <w:sz w:val="32"/>
          <w:szCs w:val="32"/>
        </w:rPr>
      </w:pPr>
    </w:p>
    <w:p w14:paraId="24E83B56">
      <w:pPr>
        <w:tabs>
          <w:tab w:val="center" w:pos="6979"/>
        </w:tabs>
        <w:spacing w:before="156" w:beforeLines="50" w:after="156" w:afterLines="50"/>
        <w:jc w:val="center"/>
        <w:rPr>
          <w:rFonts w:ascii="宋体" w:hAnsi="宋体" w:cs="宋体"/>
          <w:b/>
          <w:bCs/>
          <w:spacing w:val="40"/>
          <w:kern w:val="0"/>
          <w:sz w:val="32"/>
          <w:szCs w:val="32"/>
        </w:rPr>
      </w:pPr>
    </w:p>
    <w:p w14:paraId="0E34DE9E">
      <w:pPr>
        <w:tabs>
          <w:tab w:val="center" w:pos="6979"/>
        </w:tabs>
        <w:spacing w:before="156" w:beforeLines="50" w:after="156" w:afterLines="50"/>
        <w:jc w:val="center"/>
        <w:rPr>
          <w:rFonts w:ascii="宋体" w:hAnsi="宋体" w:cs="宋体"/>
          <w:b/>
          <w:bCs/>
          <w:spacing w:val="40"/>
          <w:kern w:val="0"/>
          <w:sz w:val="32"/>
          <w:szCs w:val="32"/>
        </w:rPr>
      </w:pPr>
    </w:p>
    <w:p w14:paraId="74D354E6">
      <w:pPr>
        <w:tabs>
          <w:tab w:val="center" w:pos="6979"/>
        </w:tabs>
        <w:spacing w:before="156" w:beforeLines="50" w:after="156" w:afterLines="50"/>
        <w:jc w:val="center"/>
        <w:rPr>
          <w:rFonts w:ascii="宋体" w:hAnsi="宋体" w:cs="宋体"/>
          <w:b/>
          <w:bCs/>
          <w:spacing w:val="40"/>
          <w:kern w:val="0"/>
          <w:sz w:val="32"/>
          <w:szCs w:val="32"/>
        </w:rPr>
      </w:pPr>
    </w:p>
    <w:p w14:paraId="596D7D29">
      <w:pPr>
        <w:tabs>
          <w:tab w:val="center" w:pos="6979"/>
        </w:tabs>
        <w:spacing w:before="156" w:beforeLines="50" w:after="156" w:afterLines="50"/>
        <w:jc w:val="center"/>
        <w:rPr>
          <w:rFonts w:ascii="宋体" w:hAnsi="宋体" w:cs="宋体"/>
          <w:b/>
          <w:bCs/>
          <w:spacing w:val="40"/>
          <w:kern w:val="0"/>
          <w:sz w:val="32"/>
          <w:szCs w:val="32"/>
        </w:rPr>
      </w:pPr>
    </w:p>
    <w:p w14:paraId="003E0D0A">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76082E3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1F15C63">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7FB891FA">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3C6E01F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（一）机构设置情况</w:t>
      </w:r>
    </w:p>
    <w:p w14:paraId="3B9E9B2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内设机构：校长室、书记室、工会、教导处、德育处、总务处、少先队、工会、安保办、财务室、档案室。</w:t>
      </w:r>
    </w:p>
    <w:p w14:paraId="158B780A">
      <w:pPr>
        <w:spacing w:line="6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（二）本单位职责</w:t>
      </w:r>
    </w:p>
    <w:p w14:paraId="3C034F6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1.全面贯彻国家教育方针，培养学生的创新精神与实践能力，使之成为社会主义事业的建设者和接班人。</w:t>
      </w:r>
    </w:p>
    <w:p w14:paraId="048AE04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 xml:space="preserve">2．负责所属服务片学生义务教育阶段中小学教育教学工作。 </w:t>
      </w:r>
    </w:p>
    <w:p w14:paraId="5F36AC88">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435D63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9287.76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420.95万元，增长4.74%。</w:t>
      </w:r>
    </w:p>
    <w:p w14:paraId="5E91533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3B4F5D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8661.98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271.87万元，增长3.24%。</w:t>
      </w:r>
    </w:p>
    <w:p w14:paraId="3BB0B6B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8661.98</w:t>
      </w:r>
      <w:r>
        <w:rPr>
          <w:rFonts w:hint="eastAsia" w:ascii="仿宋_GB2312" w:eastAsia="仿宋_GB2312"/>
          <w:sz w:val="28"/>
          <w:szCs w:val="28"/>
        </w:rPr>
        <w:t>万元，占收入合计的100%。其中：一般公共预算财政拨款收入</w:t>
      </w:r>
      <w:r>
        <w:rPr>
          <w:rFonts w:ascii="仿宋_GB2312" w:eastAsia="仿宋_GB2312"/>
          <w:sz w:val="28"/>
          <w:szCs w:val="28"/>
        </w:rPr>
        <w:t>8661.98</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14:paraId="0B3F745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126B811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107DB31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607752C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5238F2E5">
      <w:pPr>
        <w:tabs>
          <w:tab w:val="center" w:pos="6979"/>
        </w:tabs>
        <w:spacing w:line="580" w:lineRule="exact"/>
        <w:ind w:firstLine="560" w:firstLineChars="200"/>
        <w:rPr>
          <w:rFonts w:ascii="仿宋_GB2312" w:eastAsia="仿宋_GB2312" w:cs="Droid Sans"/>
          <w:color w:val="000000"/>
          <w:sz w:val="32"/>
          <w:szCs w:val="32"/>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6458D1F0">
      <w:pPr>
        <w:pStyle w:val="2"/>
        <w:jc w:val="center"/>
      </w:pPr>
      <w:r>
        <w:rPr>
          <w:rFonts w:hint="eastAsia" w:ascii="仿宋_GB2312" w:eastAsia="仿宋_GB2312"/>
          <w:color w:val="000000"/>
          <w:sz w:val="32"/>
        </w:rPr>
        <w:t>图1：收入决算</w:t>
      </w:r>
    </w:p>
    <w:p w14:paraId="1697EA2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31ECF7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B7F4E7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9287.76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420.95万元，增长4.74%，其中：基本支出</w:t>
      </w:r>
      <w:r>
        <w:rPr>
          <w:rFonts w:ascii="仿宋_GB2312" w:eastAsia="仿宋_GB2312"/>
          <w:sz w:val="28"/>
          <w:szCs w:val="28"/>
        </w:rPr>
        <w:t>8636.28</w:t>
      </w:r>
      <w:r>
        <w:rPr>
          <w:rFonts w:hint="eastAsia" w:ascii="仿宋_GB2312" w:eastAsia="仿宋_GB2312"/>
          <w:sz w:val="28"/>
          <w:szCs w:val="28"/>
        </w:rPr>
        <w:t>万元，占支出合计的92.99%；项目支出</w:t>
      </w:r>
      <w:r>
        <w:rPr>
          <w:rFonts w:ascii="仿宋_GB2312" w:eastAsia="仿宋_GB2312"/>
          <w:sz w:val="28"/>
          <w:szCs w:val="28"/>
        </w:rPr>
        <w:t>651.48</w:t>
      </w:r>
      <w:r>
        <w:rPr>
          <w:rFonts w:hint="eastAsia" w:ascii="仿宋_GB2312" w:eastAsia="仿宋_GB2312"/>
          <w:sz w:val="28"/>
          <w:szCs w:val="28"/>
        </w:rPr>
        <w:t>万元，占支出合计的7.01%;上缴上级支出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6CC7BA16">
      <w:pPr>
        <w:spacing w:line="560" w:lineRule="exact"/>
        <w:rPr>
          <w:rFonts w:ascii="仿宋_GB2312" w:eastAsia="仿宋_GB2312" w:cs="Droid Sans"/>
          <w:color w:val="000000"/>
          <w:sz w:val="32"/>
          <w:szCs w:val="32"/>
        </w:rPr>
      </w:pPr>
    </w:p>
    <w:p w14:paraId="4D9167C4">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48AF547">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DD32018">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A2D27F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9287.76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420.95万元，增长4.74%。主要原因：补发住房补助。</w:t>
      </w:r>
    </w:p>
    <w:p w14:paraId="5C2EBCB4">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79A44F4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381BB60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9287.76</w:t>
      </w:r>
      <w:r>
        <w:rPr>
          <w:rFonts w:hint="eastAsia" w:ascii="仿宋_GB2312" w:eastAsia="仿宋_GB2312"/>
          <w:sz w:val="28"/>
          <w:szCs w:val="28"/>
        </w:rPr>
        <w:t>万元，主要用于以下方面（按大类）：教育支出6770.59万元，占本年财政拨款支出72.9%，社会保障和就业支出1174.13万元，占本年财政拨款支出12.64%，卫生健康支出689.27万元，占本年财政拨款支出7.42%，节能环保支出28万元，占本年财政拨款支出0.3%，住房保障支出625.77万元，占本年财政拨款支出6.74%。</w:t>
      </w:r>
    </w:p>
    <w:p w14:paraId="4E45083D">
      <w:pPr>
        <w:autoSpaceDE w:val="0"/>
        <w:autoSpaceDN w:val="0"/>
        <w:adjustRightInd w:val="0"/>
        <w:spacing w:line="580" w:lineRule="exact"/>
        <w:ind w:firstLine="560" w:firstLineChars="200"/>
        <w:jc w:val="left"/>
        <w:rPr>
          <w:rFonts w:ascii="仿宋_GB2312" w:eastAsia="仿宋_GB2312"/>
          <w:sz w:val="28"/>
          <w:szCs w:val="28"/>
        </w:rPr>
      </w:pPr>
    </w:p>
    <w:p w14:paraId="5B8916F9">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17D94B2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1、“205教育支出”（类）2024年度年初预算6635.66万元，2024年度决算6770.59万元，完成年初预算的102.03%。</w:t>
      </w:r>
    </w:p>
    <w:p w14:paraId="3542B578">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7815A08F">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“20502普通教育”（款）2024年度年初预算6635.66万元，2024年度决算6770.59万元，完成年初预算的102.03%。。主要原因：规范绩效工资后提高，及增加手拉手项目。</w:t>
      </w:r>
    </w:p>
    <w:p w14:paraId="3E0A661D">
      <w:pPr>
        <w:spacing w:line="580" w:lineRule="exact"/>
        <w:ind w:firstLine="560" w:firstLineChars="200"/>
        <w:rPr>
          <w:rFonts w:ascii="仿宋_GB2312" w:eastAsia="仿宋_GB2312"/>
          <w:sz w:val="28"/>
          <w:szCs w:val="28"/>
        </w:rPr>
      </w:pPr>
      <w:r>
        <w:rPr>
          <w:rFonts w:hint="eastAsia" w:ascii="仿宋_GB2312" w:eastAsia="仿宋_GB2312"/>
          <w:sz w:val="28"/>
          <w:szCs w:val="28"/>
        </w:rPr>
        <w:t>2、“208社会保障和就业支出”（类）2024年度年初预算1105.45万元，2024年度决算1174.13万元，完成年初预算的106.21%。其中：</w:t>
      </w:r>
    </w:p>
    <w:p w14:paraId="3293A4B9">
      <w:pPr>
        <w:spacing w:line="580" w:lineRule="exact"/>
        <w:ind w:firstLine="560" w:firstLineChars="200"/>
        <w:rPr>
          <w:rFonts w:ascii="仿宋_GB2312" w:eastAsia="仿宋_GB2312"/>
          <w:sz w:val="28"/>
          <w:szCs w:val="28"/>
        </w:rPr>
      </w:pPr>
      <w:r>
        <w:rPr>
          <w:rFonts w:hint="eastAsia" w:ascii="仿宋_GB2312" w:eastAsia="仿宋_GB2312"/>
          <w:sz w:val="28"/>
          <w:szCs w:val="28"/>
        </w:rPr>
        <w:t>“20805行政事业单位养老支出”（款）024年度年初预算1105.45万元，2024年度决算1174.13万元，完成年初预算的106.21%。主要原因：重新核定基数后，社会保险增加。</w:t>
      </w:r>
    </w:p>
    <w:p w14:paraId="561D1004">
      <w:pPr>
        <w:numPr>
          <w:ilvl w:val="0"/>
          <w:numId w:val="1"/>
        </w:num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“210卫生健康支出”（类）2024年度年初预算691.04万元，2024年度决算689.27万元，完成年初预算的99.74%。其中：</w:t>
      </w:r>
    </w:p>
    <w:p w14:paraId="6C124BE7">
      <w:pPr>
        <w:autoSpaceDE w:val="0"/>
        <w:autoSpaceDN w:val="0"/>
        <w:adjustRightInd w:val="0"/>
        <w:spacing w:line="580" w:lineRule="exact"/>
        <w:ind w:firstLine="840" w:firstLineChars="300"/>
        <w:jc w:val="left"/>
        <w:rPr>
          <w:rFonts w:ascii="仿宋_GB2312" w:eastAsia="仿宋_GB2312"/>
          <w:sz w:val="28"/>
          <w:szCs w:val="28"/>
        </w:rPr>
      </w:pPr>
      <w:r>
        <w:rPr>
          <w:rFonts w:hint="eastAsia" w:ascii="仿宋_GB2312" w:eastAsia="仿宋_GB2312"/>
          <w:sz w:val="28"/>
          <w:szCs w:val="28"/>
        </w:rPr>
        <w:t>“21011行政事业单位医疗”（款）2024年度年初预算691.04万元，2024年度决算689.27万元，完成年初预算的99.74%。主要原因：重新核定基数后，事业单位医疗、公务员医疗有调整。</w:t>
      </w:r>
    </w:p>
    <w:p w14:paraId="4F726FA2">
      <w:pPr>
        <w:numPr>
          <w:ilvl w:val="0"/>
          <w:numId w:val="1"/>
        </w:num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“211节能环保支出”（类）2024年度年初预算100万元，2024年度决算28万元，完成年初预算的28%。其中：</w:t>
      </w:r>
    </w:p>
    <w:p w14:paraId="3C5976A2">
      <w:pPr>
        <w:autoSpaceDE w:val="0"/>
        <w:autoSpaceDN w:val="0"/>
        <w:adjustRightInd w:val="0"/>
        <w:spacing w:line="580" w:lineRule="exact"/>
        <w:ind w:firstLine="840" w:firstLineChars="300"/>
        <w:jc w:val="left"/>
        <w:rPr>
          <w:rFonts w:ascii="仿宋_GB2312" w:eastAsia="仿宋_GB2312"/>
          <w:sz w:val="28"/>
          <w:szCs w:val="28"/>
        </w:rPr>
      </w:pPr>
      <w:r>
        <w:rPr>
          <w:rFonts w:hint="eastAsia" w:ascii="仿宋_GB2312" w:eastAsia="仿宋_GB2312"/>
          <w:sz w:val="28"/>
          <w:szCs w:val="28"/>
        </w:rPr>
        <w:t>“21103污染防治”（款）2024年度年初预算100万元，2024年度决算28万元，完成年初预算的28%。主要原因：财政收回部分低碳学校项目经费。</w:t>
      </w:r>
    </w:p>
    <w:p w14:paraId="51E2E0D1">
      <w:pPr>
        <w:numPr>
          <w:ilvl w:val="0"/>
          <w:numId w:val="2"/>
        </w:num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“221住房保障支出”（类）2024年度年初预算0万元，2024年度决算625.77万元。其中：</w:t>
      </w:r>
    </w:p>
    <w:p w14:paraId="77A54379">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 xml:space="preserve">     “22102住房改革支出”（款）2024年度年初预算0万元，2024年度决算625.77万元。主要原因：补发在职及退休人员购房补贴。</w:t>
      </w:r>
    </w:p>
    <w:p w14:paraId="04C4A113">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38DC95C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07CEE97F">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7B06D7B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527DCECE">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1FF62DA5">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DE4B5E6">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93CE574">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8636.28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54A7D97">
      <w:pPr>
        <w:autoSpaceDE w:val="0"/>
        <w:autoSpaceDN w:val="0"/>
        <w:adjustRightInd w:val="0"/>
        <w:spacing w:line="580" w:lineRule="exact"/>
        <w:rPr>
          <w:rFonts w:ascii="宋体" w:hAnsi="宋体"/>
          <w:b/>
          <w:spacing w:val="40"/>
          <w:sz w:val="32"/>
          <w:szCs w:val="32"/>
        </w:rPr>
      </w:pPr>
      <w:bookmarkStart w:id="0" w:name="_GoBack"/>
      <w:bookmarkEnd w:id="0"/>
      <w:r>
        <w:rPr>
          <w:rFonts w:ascii="仿宋_GB2312" w:eastAsia="仿宋_GB2312"/>
          <w:b/>
          <w:sz w:val="32"/>
          <w:szCs w:val="32"/>
        </w:rPr>
        <w:tab/>
      </w:r>
    </w:p>
    <w:p w14:paraId="4F17F35A">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38FBE2DD">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7871E1EE">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4.33</w:t>
      </w:r>
      <w:r>
        <w:rPr>
          <w:rFonts w:hint="eastAsia" w:ascii="仿宋_GB2312" w:eastAsia="仿宋_GB2312"/>
          <w:sz w:val="28"/>
          <w:szCs w:val="28"/>
        </w:rPr>
        <w:t>万元，比2024年度“三公”经费财政拨款年初预算</w:t>
      </w:r>
      <w:r>
        <w:rPr>
          <w:rFonts w:ascii="仿宋_GB2312" w:eastAsia="仿宋_GB2312"/>
          <w:sz w:val="28"/>
          <w:szCs w:val="28"/>
        </w:rPr>
        <w:t>18.9</w:t>
      </w:r>
      <w:r>
        <w:rPr>
          <w:rFonts w:hint="eastAsia" w:ascii="仿宋_GB2312" w:eastAsia="仿宋_GB2312"/>
          <w:sz w:val="28"/>
          <w:szCs w:val="28"/>
        </w:rPr>
        <w:t>万元减少14.57万元。其中：</w:t>
      </w:r>
    </w:p>
    <w:p w14:paraId="77D1E17A">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增减无变化，保持一致。主要原因：本年度无因公出国（境）支出；2024年度因公出国（境）费用主要用于出国（境）的会议、培训交流等事项，2024年度组织因公出国（境）团组0个、0人次。</w:t>
      </w:r>
    </w:p>
    <w:p w14:paraId="15574CFF">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2.公务接待费。2024年度决算数0万元，比2024年度年初预算数0万元，增减无变化，保持一致。主要原因：本年度无公务接待支出。2024年度公务接待费主要用于公务接待事项。公务接待0批次，公务接待0人次。</w:t>
      </w:r>
    </w:p>
    <w:p w14:paraId="4F962B5B">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4.33</w:t>
      </w:r>
      <w:r>
        <w:rPr>
          <w:rFonts w:hint="eastAsia" w:ascii="仿宋_GB2312" w:eastAsia="仿宋_GB2312"/>
          <w:sz w:val="28"/>
          <w:szCs w:val="28"/>
        </w:rPr>
        <w:t>万元，比2024年度年初预算数18.9万元减少14.57万元。其中，公务用车购置费2024年度决算数0万元，主要原因：本年度新购车辆0辆，2024年度购置（更新）0辆。公务用车运行维护费2024年度决算数4.33万元，主要原因：严格落实公务用车使用规定，认真贯彻厉行节约反对浪费的有关要求，本着节约高效的原则，进一步加强公务用车管理，减少费用支出。2024年度公务用车保有量</w:t>
      </w:r>
      <w:r>
        <w:rPr>
          <w:rFonts w:ascii="仿宋_GB2312" w:eastAsia="仿宋_GB2312"/>
          <w:sz w:val="28"/>
          <w:szCs w:val="28"/>
        </w:rPr>
        <w:t>7</w:t>
      </w:r>
      <w:r>
        <w:rPr>
          <w:rFonts w:hint="eastAsia" w:ascii="仿宋_GB2312" w:eastAsia="仿宋_GB2312"/>
          <w:sz w:val="28"/>
          <w:szCs w:val="28"/>
        </w:rPr>
        <w:t>辆。</w:t>
      </w:r>
    </w:p>
    <w:p w14:paraId="4C4DF2B6">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7734EDC">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本单位不在机关运行经费统计范围之内。</w:t>
      </w:r>
    </w:p>
    <w:p w14:paraId="3CEE0BE8">
      <w:pPr>
        <w:ind w:left="540"/>
        <w:rPr>
          <w:rFonts w:ascii="黑体" w:eastAsia="黑体"/>
          <w:sz w:val="28"/>
          <w:szCs w:val="28"/>
        </w:rPr>
      </w:pPr>
      <w:r>
        <w:rPr>
          <w:rFonts w:hint="eastAsia" w:ascii="黑体" w:eastAsia="黑体"/>
          <w:sz w:val="28"/>
          <w:szCs w:val="28"/>
        </w:rPr>
        <w:t>三、政府采购支出情况</w:t>
      </w:r>
    </w:p>
    <w:p w14:paraId="504B4F98">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223.31</w:t>
      </w:r>
      <w:r>
        <w:rPr>
          <w:rFonts w:hint="eastAsia" w:ascii="仿宋_GB2312" w:eastAsia="仿宋_GB2312"/>
          <w:sz w:val="28"/>
          <w:szCs w:val="28"/>
        </w:rPr>
        <w:t>万元，其中：政府采购货物支出0万元，政府采购工程支出0万元，政府采购服务支出223.31万元。授予中小企业合同金额</w:t>
      </w:r>
      <w:r>
        <w:rPr>
          <w:rFonts w:ascii="仿宋_GB2312" w:eastAsia="仿宋_GB2312"/>
          <w:sz w:val="28"/>
          <w:szCs w:val="28"/>
        </w:rPr>
        <w:t>78.86</w:t>
      </w:r>
      <w:r>
        <w:rPr>
          <w:rFonts w:hint="eastAsia" w:ascii="仿宋_GB2312" w:eastAsia="仿宋_GB2312"/>
          <w:sz w:val="28"/>
          <w:szCs w:val="28"/>
        </w:rPr>
        <w:t>万元，占政府采购支出总额的35.31%，其中：授予小微企业合同金额</w:t>
      </w:r>
      <w:r>
        <w:rPr>
          <w:rFonts w:ascii="仿宋_GB2312" w:eastAsia="仿宋_GB2312"/>
          <w:sz w:val="28"/>
          <w:szCs w:val="28"/>
        </w:rPr>
        <w:t>78.86</w:t>
      </w:r>
      <w:r>
        <w:rPr>
          <w:rFonts w:hint="eastAsia" w:ascii="仿宋_GB2312" w:eastAsia="仿宋_GB2312"/>
          <w:sz w:val="28"/>
          <w:szCs w:val="28"/>
        </w:rPr>
        <w:t>万元，占政府采购支出总额的</w:t>
      </w:r>
      <w:r>
        <w:rPr>
          <w:rFonts w:ascii="仿宋_GB2312" w:eastAsia="仿宋_GB2312"/>
          <w:sz w:val="28"/>
          <w:szCs w:val="28"/>
        </w:rPr>
        <w:t>35.31</w:t>
      </w:r>
      <w:r>
        <w:rPr>
          <w:rFonts w:hint="eastAsia" w:ascii="仿宋_GB2312" w:eastAsia="仿宋_GB2312"/>
          <w:sz w:val="28"/>
          <w:szCs w:val="28"/>
        </w:rPr>
        <w:t>%。</w:t>
      </w:r>
    </w:p>
    <w:p w14:paraId="16F6D856">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7C347D00">
      <w:pPr>
        <w:ind w:firstLine="560" w:firstLineChars="200"/>
        <w:rPr>
          <w:rFonts w:ascii="仿宋_GB2312" w:eastAsia="仿宋_GB2312"/>
          <w:sz w:val="32"/>
          <w:szCs w:val="32"/>
        </w:rPr>
      </w:pPr>
      <w:r>
        <w:rPr>
          <w:rFonts w:hint="eastAsia" w:ascii="仿宋_GB2312" w:eastAsia="仿宋_GB2312"/>
          <w:sz w:val="28"/>
          <w:szCs w:val="28"/>
        </w:rPr>
        <w:t>截至12月31日，北京市大兴区黄村镇第一中心小学共有车辆7台；单位价值100万元（含）以上的设备0台（套）。</w:t>
      </w:r>
    </w:p>
    <w:p w14:paraId="3573D15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9C42775">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285E35DF">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D068B28">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A2A531D">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E09C1E5">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883018C">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479DAB2">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2E6C0ED">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BF12AFA">
      <w:pPr>
        <w:tabs>
          <w:tab w:val="center" w:pos="6979"/>
        </w:tabs>
        <w:spacing w:before="156" w:beforeLines="50" w:after="156" w:afterLines="50"/>
        <w:ind w:firstLine="280" w:firstLineChars="100"/>
        <w:rPr>
          <w:rFonts w:ascii="仿宋_GB2312" w:eastAsia="仿宋_GB2312"/>
          <w:sz w:val="28"/>
          <w:szCs w:val="28"/>
        </w:rPr>
      </w:pPr>
      <w:r>
        <w:rPr>
          <w:rFonts w:hint="eastAsia" w:ascii="仿宋_GB2312" w:eastAsia="仿宋_GB2312"/>
          <w:sz w:val="28"/>
          <w:szCs w:val="28"/>
        </w:rPr>
        <w:t>7.教育支出(类)普通教育(款)小学教育(项):反映各部门举办的小学教育支出。政府各部门对社会组织等举办的小学的资助，如捐赠、补贴等，也在本科目中反映。</w:t>
      </w:r>
    </w:p>
    <w:p w14:paraId="45571E92">
      <w:pPr>
        <w:tabs>
          <w:tab w:val="center" w:pos="6979"/>
        </w:tabs>
        <w:spacing w:before="156" w:beforeLines="50" w:after="156" w:afterLines="50"/>
        <w:ind w:firstLine="280" w:firstLineChars="100"/>
        <w:rPr>
          <w:rFonts w:ascii="仿宋_GB2312" w:eastAsia="仿宋_GB2312"/>
          <w:sz w:val="28"/>
          <w:szCs w:val="28"/>
        </w:rPr>
      </w:pPr>
      <w:r>
        <w:rPr>
          <w:rFonts w:hint="eastAsia" w:ascii="仿宋_GB2312" w:eastAsia="仿宋_GB2312"/>
          <w:sz w:val="28"/>
          <w:szCs w:val="28"/>
        </w:rPr>
        <w:t>8.社会保障和就业支出(类)行政事业单位养老支出(款)事业单位离退休（项）：反应事业单位开支的离退休经费。</w:t>
      </w:r>
    </w:p>
    <w:p w14:paraId="6E33AC54">
      <w:pPr>
        <w:tabs>
          <w:tab w:val="center" w:pos="6979"/>
        </w:tabs>
        <w:spacing w:before="156" w:beforeLines="50" w:after="156" w:afterLines="50"/>
        <w:ind w:firstLine="280" w:firstLineChars="100"/>
        <w:jc w:val="left"/>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9.社会保障和就业支出(类)行政事业单位养老支出(款)机关事业单位基本养老保险缴费支出(项):反映机关事业单位实施养老保险制度由单位缴纳的基本养老保险支出。</w:t>
      </w:r>
    </w:p>
    <w:p w14:paraId="5A2185CE">
      <w:pPr>
        <w:tabs>
          <w:tab w:val="center" w:pos="6979"/>
        </w:tabs>
        <w:spacing w:before="156" w:beforeLines="50" w:after="156" w:afterLines="50"/>
        <w:ind w:firstLine="280" w:firstLineChars="100"/>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14:paraId="213E5368">
      <w:pPr>
        <w:tabs>
          <w:tab w:val="center" w:pos="6979"/>
        </w:tabs>
        <w:spacing w:before="156" w:beforeLines="50" w:after="156" w:afterLines="50"/>
        <w:ind w:firstLine="280" w:firstLineChars="100"/>
        <w:jc w:val="left"/>
        <w:rPr>
          <w:rFonts w:ascii="仿宋_GB2312" w:eastAsia="仿宋_GB2312"/>
          <w:sz w:val="28"/>
          <w:szCs w:val="28"/>
        </w:rPr>
      </w:pPr>
      <w:r>
        <w:rPr>
          <w:rFonts w:hint="eastAsia" w:ascii="仿宋_GB2312" w:eastAsia="仿宋_GB2312"/>
          <w:sz w:val="28"/>
          <w:szCs w:val="28"/>
        </w:rPr>
        <w:t>11.社会保障和就业支出(类)行政事业单位养老支出(款)其他行政事业单位养老支出(项):反映除上述项目以外其他用于行政事业单位养老方面的支出。</w:t>
      </w:r>
    </w:p>
    <w:p w14:paraId="20788E98">
      <w:pPr>
        <w:tabs>
          <w:tab w:val="center" w:pos="6979"/>
        </w:tabs>
        <w:spacing w:before="156" w:beforeLines="50" w:after="156" w:afterLines="50"/>
        <w:ind w:firstLine="280" w:firstLineChars="100"/>
        <w:jc w:val="left"/>
        <w:rPr>
          <w:rFonts w:ascii="仿宋_GB2312" w:eastAsia="仿宋_GB2312"/>
          <w:sz w:val="28"/>
          <w:szCs w:val="28"/>
        </w:rPr>
      </w:pPr>
      <w:r>
        <w:rPr>
          <w:rFonts w:hint="eastAsia" w:ascii="仿宋_GB2312" w:eastAsia="仿宋_GB2312"/>
          <w:sz w:val="28"/>
          <w:szCs w:val="28"/>
        </w:rPr>
        <w:t>12.卫生健康支出(类)行政事业单位医疗(款)事业单位医疗(项):反映财政部门安排的行政单位(包括实施公务员管理的事业单位，下同)基本医疗保险缴费经费，未参加医疗保险的行政单位的公费医疗经费，按国家规定享受离休人员、红军老战士待遇人员的医疗经费。</w:t>
      </w:r>
    </w:p>
    <w:p w14:paraId="664CE563">
      <w:pPr>
        <w:tabs>
          <w:tab w:val="center" w:pos="6979"/>
        </w:tabs>
        <w:spacing w:before="156" w:beforeLines="50" w:after="156" w:afterLines="50"/>
        <w:ind w:firstLine="280" w:firstLineChars="100"/>
        <w:rPr>
          <w:rFonts w:ascii="仿宋_GB2312" w:eastAsia="仿宋_GB2312"/>
          <w:sz w:val="28"/>
          <w:szCs w:val="28"/>
        </w:rPr>
      </w:pPr>
      <w:r>
        <w:rPr>
          <w:rFonts w:hint="eastAsia" w:ascii="仿宋_GB2312" w:eastAsia="仿宋_GB2312"/>
          <w:sz w:val="28"/>
          <w:szCs w:val="28"/>
        </w:rPr>
        <w:t>13.卫生健康支出(类)行政事业单位医疗(款)公务员医疗补助(项):反映财政部门安排的公务员医疗补助经费。</w:t>
      </w:r>
    </w:p>
    <w:p w14:paraId="0C480D5F">
      <w:pPr>
        <w:tabs>
          <w:tab w:val="center" w:pos="6979"/>
        </w:tabs>
        <w:spacing w:before="156" w:beforeLines="50" w:after="156" w:afterLines="50"/>
        <w:ind w:firstLine="280" w:firstLineChars="100"/>
        <w:rPr>
          <w:rFonts w:ascii="仿宋_GB2312" w:eastAsia="仿宋_GB2312"/>
          <w:sz w:val="28"/>
          <w:szCs w:val="28"/>
        </w:rPr>
      </w:pPr>
      <w:r>
        <w:rPr>
          <w:rFonts w:hint="eastAsia" w:ascii="仿宋_GB2312" w:eastAsia="仿宋_GB2312"/>
          <w:sz w:val="28"/>
          <w:szCs w:val="28"/>
        </w:rPr>
        <w:t>14.节能环保支出（类）污染防治（款）大气（项）：反映政府在治理空气污染、汽车尾气、酸雨、二氧化硫、沙尘暴等方面的支出。</w:t>
      </w:r>
    </w:p>
    <w:p w14:paraId="54D4DE96">
      <w:pPr>
        <w:tabs>
          <w:tab w:val="center" w:pos="6979"/>
        </w:tabs>
        <w:spacing w:before="156" w:beforeLines="50" w:after="156" w:afterLines="50"/>
        <w:ind w:firstLine="280" w:firstLineChars="100"/>
        <w:jc w:val="left"/>
        <w:rPr>
          <w:rFonts w:ascii="仿宋_GB2312" w:eastAsia="仿宋_GB2312"/>
          <w:sz w:val="28"/>
          <w:szCs w:val="28"/>
        </w:rPr>
      </w:pPr>
      <w:r>
        <w:rPr>
          <w:rFonts w:hint="eastAsia" w:ascii="仿宋_GB2312" w:eastAsia="仿宋_GB2312"/>
          <w:sz w:val="28"/>
          <w:szCs w:val="28"/>
        </w:rPr>
        <w:t>15.住房保障支出（类）住房改革支出（款）购房补贴（项）：反映按方房改政策规定，行政事业单位向符合条件员工（含离退休人员）、军队（含武警）向转役复员离退休人员发放的用于购买住房的补贴。</w:t>
      </w:r>
    </w:p>
    <w:p w14:paraId="565ED674">
      <w:pPr>
        <w:ind w:firstLine="640" w:firstLineChars="200"/>
        <w:jc w:val="center"/>
        <w:rPr>
          <w:rFonts w:ascii="黑体" w:eastAsia="黑体"/>
          <w:sz w:val="32"/>
          <w:szCs w:val="32"/>
        </w:rPr>
      </w:pPr>
    </w:p>
    <w:p w14:paraId="015F518B">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78FF7204">
      <w:pPr>
        <w:ind w:firstLine="560" w:firstLineChars="200"/>
        <w:rPr>
          <w:rFonts w:ascii="黑体" w:eastAsia="黑体"/>
          <w:sz w:val="28"/>
          <w:szCs w:val="28"/>
          <w:highlight w:val="yellow"/>
        </w:rPr>
      </w:pPr>
    </w:p>
    <w:p w14:paraId="70B4C75E">
      <w:pPr>
        <w:jc w:val="center"/>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17545300">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30BB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00A55C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6208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9</w:t>
    </w:r>
    <w:r>
      <w:fldChar w:fldCharType="end"/>
    </w:r>
  </w:p>
  <w:p w14:paraId="7092C5FD">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5622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4D92DB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3ECD55"/>
    <w:multiLevelType w:val="singleLevel"/>
    <w:tmpl w:val="1A3ECD55"/>
    <w:lvl w:ilvl="0" w:tentative="0">
      <w:start w:val="5"/>
      <w:numFmt w:val="decimal"/>
      <w:lvlText w:val="%1."/>
      <w:lvlJc w:val="left"/>
      <w:pPr>
        <w:tabs>
          <w:tab w:val="left" w:pos="312"/>
        </w:tabs>
      </w:pPr>
    </w:lvl>
  </w:abstractNum>
  <w:abstractNum w:abstractNumId="1">
    <w:nsid w:val="6A1B24AE"/>
    <w:multiLevelType w:val="singleLevel"/>
    <w:tmpl w:val="6A1B24AE"/>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4DA4"/>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6F8D"/>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9B2A76"/>
    <w:rsid w:val="05DC39BA"/>
    <w:rsid w:val="07587438"/>
    <w:rsid w:val="079004AC"/>
    <w:rsid w:val="096947CA"/>
    <w:rsid w:val="0BA148CA"/>
    <w:rsid w:val="0C1165C4"/>
    <w:rsid w:val="0D6D544B"/>
    <w:rsid w:val="0DAC4B43"/>
    <w:rsid w:val="0DD136FE"/>
    <w:rsid w:val="0E2C5C52"/>
    <w:rsid w:val="0F291536"/>
    <w:rsid w:val="0F542F2C"/>
    <w:rsid w:val="0F7D2A54"/>
    <w:rsid w:val="0F8E2C57"/>
    <w:rsid w:val="0FCC0530"/>
    <w:rsid w:val="1059665E"/>
    <w:rsid w:val="10AC13BA"/>
    <w:rsid w:val="13C9209F"/>
    <w:rsid w:val="145A6C1B"/>
    <w:rsid w:val="148D6DBA"/>
    <w:rsid w:val="14B73493"/>
    <w:rsid w:val="167A2FF9"/>
    <w:rsid w:val="1764587C"/>
    <w:rsid w:val="18581C69"/>
    <w:rsid w:val="1A5249BA"/>
    <w:rsid w:val="1ADB2741"/>
    <w:rsid w:val="1AEC0734"/>
    <w:rsid w:val="1DEF20B0"/>
    <w:rsid w:val="1EFD3576"/>
    <w:rsid w:val="1FD9384E"/>
    <w:rsid w:val="1FF7AB17"/>
    <w:rsid w:val="20481A74"/>
    <w:rsid w:val="211663DC"/>
    <w:rsid w:val="214243FA"/>
    <w:rsid w:val="21AD613C"/>
    <w:rsid w:val="2245532A"/>
    <w:rsid w:val="22467189"/>
    <w:rsid w:val="23051C6E"/>
    <w:rsid w:val="24E16169"/>
    <w:rsid w:val="257A14F5"/>
    <w:rsid w:val="268A7650"/>
    <w:rsid w:val="26D92839"/>
    <w:rsid w:val="27196C26"/>
    <w:rsid w:val="27400473"/>
    <w:rsid w:val="28171131"/>
    <w:rsid w:val="285A74F6"/>
    <w:rsid w:val="29AD23AE"/>
    <w:rsid w:val="29EF086F"/>
    <w:rsid w:val="2A4346E5"/>
    <w:rsid w:val="2B512E32"/>
    <w:rsid w:val="2BC34C59"/>
    <w:rsid w:val="2EFFE297"/>
    <w:rsid w:val="301437CA"/>
    <w:rsid w:val="327A2C6E"/>
    <w:rsid w:val="349D1F0A"/>
    <w:rsid w:val="34CA0B0B"/>
    <w:rsid w:val="34DD0473"/>
    <w:rsid w:val="35165FED"/>
    <w:rsid w:val="353B7F7E"/>
    <w:rsid w:val="36BA5D6D"/>
    <w:rsid w:val="39605333"/>
    <w:rsid w:val="3A8E35DC"/>
    <w:rsid w:val="3B324DD8"/>
    <w:rsid w:val="3C684897"/>
    <w:rsid w:val="3FC66442"/>
    <w:rsid w:val="40F146E8"/>
    <w:rsid w:val="411131C0"/>
    <w:rsid w:val="433E495C"/>
    <w:rsid w:val="437F5828"/>
    <w:rsid w:val="44903C04"/>
    <w:rsid w:val="489F2FD7"/>
    <w:rsid w:val="491E0B3A"/>
    <w:rsid w:val="4AC27CB3"/>
    <w:rsid w:val="4BF72BEF"/>
    <w:rsid w:val="4E1C6E78"/>
    <w:rsid w:val="4F863B61"/>
    <w:rsid w:val="4FA90297"/>
    <w:rsid w:val="4FC41A43"/>
    <w:rsid w:val="502B48F7"/>
    <w:rsid w:val="51DB3C59"/>
    <w:rsid w:val="51F13D8E"/>
    <w:rsid w:val="5277263F"/>
    <w:rsid w:val="53EF6980"/>
    <w:rsid w:val="54BF3453"/>
    <w:rsid w:val="550C0952"/>
    <w:rsid w:val="55762E42"/>
    <w:rsid w:val="57A7B272"/>
    <w:rsid w:val="58470068"/>
    <w:rsid w:val="584B2834"/>
    <w:rsid w:val="58747CAC"/>
    <w:rsid w:val="593908DE"/>
    <w:rsid w:val="5A1720F9"/>
    <w:rsid w:val="5ADB7D78"/>
    <w:rsid w:val="5B2027D8"/>
    <w:rsid w:val="5B9C37C2"/>
    <w:rsid w:val="5BA7C654"/>
    <w:rsid w:val="5DF716AE"/>
    <w:rsid w:val="5F9F507E"/>
    <w:rsid w:val="6058648D"/>
    <w:rsid w:val="60A54109"/>
    <w:rsid w:val="60B01C04"/>
    <w:rsid w:val="61D01CDF"/>
    <w:rsid w:val="62125BED"/>
    <w:rsid w:val="64C0607C"/>
    <w:rsid w:val="654C1999"/>
    <w:rsid w:val="65756C86"/>
    <w:rsid w:val="673B76B2"/>
    <w:rsid w:val="674D385B"/>
    <w:rsid w:val="676F09E1"/>
    <w:rsid w:val="678331C5"/>
    <w:rsid w:val="6AEF2A5D"/>
    <w:rsid w:val="6BA9363B"/>
    <w:rsid w:val="6DA542F8"/>
    <w:rsid w:val="6DB34E6D"/>
    <w:rsid w:val="6E91020B"/>
    <w:rsid w:val="6F3F543F"/>
    <w:rsid w:val="70D96BE4"/>
    <w:rsid w:val="71691990"/>
    <w:rsid w:val="71793A80"/>
    <w:rsid w:val="7357290B"/>
    <w:rsid w:val="736F07BF"/>
    <w:rsid w:val="756E3DEA"/>
    <w:rsid w:val="75E76860"/>
    <w:rsid w:val="76FB1693"/>
    <w:rsid w:val="78CA5523"/>
    <w:rsid w:val="79082334"/>
    <w:rsid w:val="794B58BC"/>
    <w:rsid w:val="798524E4"/>
    <w:rsid w:val="7A7F1C49"/>
    <w:rsid w:val="7B2546AC"/>
    <w:rsid w:val="7B2D37A3"/>
    <w:rsid w:val="7B5B7AE6"/>
    <w:rsid w:val="7B7B6628"/>
    <w:rsid w:val="7BA7071E"/>
    <w:rsid w:val="7BDF6DA8"/>
    <w:rsid w:val="7C7EDC1A"/>
    <w:rsid w:val="7CCED98D"/>
    <w:rsid w:val="7D08410F"/>
    <w:rsid w:val="7D38737D"/>
    <w:rsid w:val="7DB96DED"/>
    <w:rsid w:val="7DD3AD81"/>
    <w:rsid w:val="7DFFF77E"/>
    <w:rsid w:val="7E6A28E6"/>
    <w:rsid w:val="7F3A2CD7"/>
    <w:rsid w:val="7F4A7D85"/>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8661.98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8636.28</c:v>
                </c:pt>
                <c:pt idx="1">
                  <c:v>651.48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4112</Words>
  <Characters>4772</Characters>
  <Lines>6</Lines>
  <Paragraphs>9</Paragraphs>
  <TotalTime>0</TotalTime>
  <ScaleCrop>false</ScaleCrop>
  <LinksUpToDate>false</LinksUpToDate>
  <CharactersWithSpaces>4798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欣欣</cp:lastModifiedBy>
  <cp:lastPrinted>2020-08-09T03:39:00Z</cp:lastPrinted>
  <dcterms:modified xsi:type="dcterms:W3CDTF">2025-09-25T03:25:35Z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eyJoZGlkIjoiMjM4MzljNWNkNzA4MGI0OGVhYmNkNDdiZmQzNjUzMDQiLCJ1c2VySWQiOiI1NDg5OTQ4MDcifQ==</vt:lpwstr>
  </property>
</Properties>
</file>