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127E82">
      <w:pPr>
        <w:jc w:val="center"/>
        <w:rPr>
          <w:rFonts w:ascii="仿宋_GB2312" w:eastAsia="仿宋_GB2312"/>
          <w:b/>
          <w:sz w:val="32"/>
          <w:szCs w:val="32"/>
        </w:rPr>
      </w:pPr>
    </w:p>
    <w:p w14:paraId="33263EDB">
      <w:pPr>
        <w:jc w:val="center"/>
        <w:rPr>
          <w:rFonts w:ascii="黑体" w:eastAsia="黑体"/>
          <w:sz w:val="72"/>
          <w:szCs w:val="72"/>
        </w:rPr>
      </w:pPr>
    </w:p>
    <w:p w14:paraId="306AA48D">
      <w:pPr>
        <w:jc w:val="center"/>
        <w:rPr>
          <w:rFonts w:ascii="黑体" w:eastAsia="黑体"/>
          <w:sz w:val="72"/>
          <w:szCs w:val="72"/>
        </w:rPr>
      </w:pPr>
    </w:p>
    <w:p w14:paraId="52F084C5">
      <w:pPr>
        <w:jc w:val="center"/>
        <w:rPr>
          <w:rFonts w:ascii="黑体" w:eastAsia="黑体"/>
          <w:sz w:val="72"/>
          <w:szCs w:val="72"/>
        </w:rPr>
      </w:pPr>
    </w:p>
    <w:p w14:paraId="29640305">
      <w:pPr>
        <w:jc w:val="center"/>
        <w:rPr>
          <w:rFonts w:ascii="黑体" w:eastAsia="黑体"/>
          <w:sz w:val="72"/>
          <w:szCs w:val="72"/>
        </w:rPr>
      </w:pPr>
    </w:p>
    <w:p w14:paraId="08C809F1">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1FB2BE6F">
      <w:pPr>
        <w:jc w:val="center"/>
        <w:rPr>
          <w:rFonts w:ascii="黑体" w:eastAsia="黑体"/>
          <w:sz w:val="52"/>
          <w:szCs w:val="52"/>
        </w:rPr>
      </w:pPr>
    </w:p>
    <w:p w14:paraId="1C41C74A">
      <w:pPr>
        <w:jc w:val="center"/>
        <w:rPr>
          <w:rFonts w:ascii="黑体" w:eastAsia="黑体"/>
          <w:sz w:val="52"/>
          <w:szCs w:val="52"/>
        </w:rPr>
      </w:pPr>
    </w:p>
    <w:p w14:paraId="16D77478">
      <w:pPr>
        <w:jc w:val="center"/>
        <w:rPr>
          <w:rFonts w:ascii="黑体" w:eastAsia="黑体"/>
          <w:sz w:val="52"/>
          <w:szCs w:val="52"/>
        </w:rPr>
      </w:pPr>
    </w:p>
    <w:p w14:paraId="0C2753C4">
      <w:pPr>
        <w:jc w:val="center"/>
        <w:rPr>
          <w:rFonts w:ascii="黑体" w:eastAsia="黑体"/>
          <w:sz w:val="52"/>
          <w:szCs w:val="52"/>
        </w:rPr>
      </w:pPr>
    </w:p>
    <w:p w14:paraId="70435C02">
      <w:pPr>
        <w:jc w:val="center"/>
        <w:rPr>
          <w:rFonts w:ascii="黑体" w:eastAsia="黑体"/>
          <w:sz w:val="32"/>
          <w:szCs w:val="32"/>
        </w:rPr>
      </w:pPr>
    </w:p>
    <w:p w14:paraId="6506499A">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441586C3">
      <w:pPr>
        <w:spacing w:line="500" w:lineRule="exact"/>
        <w:ind w:firstLine="645"/>
        <w:jc w:val="center"/>
        <w:rPr>
          <w:rFonts w:ascii="宋体" w:hAnsi="宋体" w:cs="宋体"/>
          <w:b/>
          <w:bCs/>
          <w:kern w:val="0"/>
          <w:sz w:val="36"/>
          <w:szCs w:val="36"/>
        </w:rPr>
      </w:pPr>
    </w:p>
    <w:p w14:paraId="002AB438">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07B9B38D">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69C1CFF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25F312E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C42E35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E779FC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40185AE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2A93496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0065ECE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2A4FEBE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6F45FED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9816EA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79942A3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097A2585">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52712EE9">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655E6D4D">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10D45E23">
      <w:pPr>
        <w:tabs>
          <w:tab w:val="center" w:pos="6979"/>
        </w:tabs>
        <w:spacing w:before="156" w:beforeLines="50" w:after="156" w:afterLines="50"/>
        <w:jc w:val="center"/>
        <w:rPr>
          <w:rFonts w:ascii="宋体" w:hAnsi="宋体" w:cs="宋体"/>
          <w:b/>
          <w:bCs/>
          <w:spacing w:val="40"/>
          <w:kern w:val="0"/>
          <w:sz w:val="32"/>
          <w:szCs w:val="32"/>
        </w:rPr>
      </w:pPr>
    </w:p>
    <w:p w14:paraId="3AC95E0A">
      <w:pPr>
        <w:tabs>
          <w:tab w:val="center" w:pos="6979"/>
        </w:tabs>
        <w:spacing w:before="156" w:beforeLines="50" w:after="156" w:afterLines="50"/>
        <w:jc w:val="center"/>
        <w:rPr>
          <w:rFonts w:ascii="宋体" w:hAnsi="宋体" w:cs="宋体"/>
          <w:b/>
          <w:bCs/>
          <w:spacing w:val="40"/>
          <w:kern w:val="0"/>
          <w:sz w:val="32"/>
          <w:szCs w:val="32"/>
        </w:rPr>
      </w:pPr>
    </w:p>
    <w:p w14:paraId="0574149E">
      <w:pPr>
        <w:tabs>
          <w:tab w:val="center" w:pos="6979"/>
        </w:tabs>
        <w:spacing w:before="156" w:beforeLines="50" w:after="156" w:afterLines="50"/>
        <w:jc w:val="center"/>
        <w:rPr>
          <w:rFonts w:ascii="宋体" w:hAnsi="宋体" w:cs="宋体"/>
          <w:b/>
          <w:bCs/>
          <w:spacing w:val="40"/>
          <w:kern w:val="0"/>
          <w:sz w:val="32"/>
          <w:szCs w:val="32"/>
        </w:rPr>
      </w:pPr>
    </w:p>
    <w:p w14:paraId="428C3CB8">
      <w:pPr>
        <w:tabs>
          <w:tab w:val="center" w:pos="6979"/>
        </w:tabs>
        <w:spacing w:before="156" w:beforeLines="50" w:after="156" w:afterLines="50"/>
        <w:jc w:val="center"/>
        <w:rPr>
          <w:rFonts w:ascii="宋体" w:hAnsi="宋体" w:cs="宋体"/>
          <w:b/>
          <w:bCs/>
          <w:spacing w:val="40"/>
          <w:kern w:val="0"/>
          <w:sz w:val="32"/>
          <w:szCs w:val="32"/>
        </w:rPr>
      </w:pPr>
    </w:p>
    <w:p w14:paraId="5FD47A51">
      <w:pPr>
        <w:tabs>
          <w:tab w:val="center" w:pos="6979"/>
        </w:tabs>
        <w:spacing w:before="156" w:beforeLines="50" w:after="156" w:afterLines="50"/>
        <w:jc w:val="center"/>
        <w:rPr>
          <w:rFonts w:ascii="宋体" w:hAnsi="宋体" w:cs="宋体"/>
          <w:b/>
          <w:bCs/>
          <w:spacing w:val="40"/>
          <w:kern w:val="0"/>
          <w:sz w:val="32"/>
          <w:szCs w:val="32"/>
        </w:rPr>
      </w:pPr>
    </w:p>
    <w:p w14:paraId="58284C54">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23546A3B">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6A04225D">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0BF462B6">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56EE39CA">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（一）大兴区采育中学主要职责</w:t>
      </w:r>
    </w:p>
    <w:p w14:paraId="3349DD6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1.实施初中、高中教育，促进基础教育发展。初中学历教育；高中学历教育。</w:t>
      </w:r>
    </w:p>
    <w:p w14:paraId="1BC983A1">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（二）机构设置情况</w:t>
      </w:r>
    </w:p>
    <w:p w14:paraId="593D7AAD">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内设机构：校长室、工会、办公室、总务处、德育处、教导处、安保办、医务室、财务室。</w:t>
      </w:r>
    </w:p>
    <w:p w14:paraId="07589EDD">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4D414F4D">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6151.42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190.25万元，增长3.19%。</w:t>
      </w:r>
    </w:p>
    <w:p w14:paraId="4CD0529A">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69E5A36F">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5626.4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增加46.01万元，增长0.82%。</w:t>
      </w:r>
    </w:p>
    <w:p w14:paraId="1B755BE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5626.4</w:t>
      </w:r>
      <w:r>
        <w:rPr>
          <w:rFonts w:hint="eastAsia" w:ascii="仿宋_GB2312" w:eastAsia="仿宋_GB2312"/>
          <w:sz w:val="28"/>
          <w:szCs w:val="28"/>
        </w:rPr>
        <w:t>万元，占收入合计的100%。其中：一般公共预算财政拨款收入5626.40万元，占收入合计的100%；政府性基金预算财政拨款收入0万元，占收入合计的0%；国有资本经营预算财政拨款收入0万元，占收入合计的0%；</w:t>
      </w:r>
    </w:p>
    <w:p w14:paraId="7E13F37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09471D7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311F2ED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13D56F2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6134432E">
      <w:pPr>
        <w:tabs>
          <w:tab w:val="center" w:pos="6979"/>
        </w:tabs>
        <w:spacing w:line="580" w:lineRule="exact"/>
        <w:ind w:firstLine="560" w:firstLineChars="200"/>
        <w:rPr>
          <w:rFonts w:ascii="仿宋_GB2312" w:eastAsia="仿宋_GB2312" w:cs="Droid Sans"/>
          <w:color w:val="000000"/>
          <w:sz w:val="32"/>
          <w:szCs w:val="32"/>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14:paraId="5EB9B7A2">
      <w:pPr>
        <w:pStyle w:val="2"/>
        <w:jc w:val="center"/>
      </w:pPr>
      <w:r>
        <w:rPr>
          <w:rFonts w:hint="eastAsia" w:ascii="仿宋_GB2312" w:eastAsia="仿宋_GB2312"/>
          <w:color w:val="000000"/>
          <w:sz w:val="32"/>
        </w:rPr>
        <w:t>图1：收入决算</w:t>
      </w:r>
    </w:p>
    <w:p w14:paraId="0E6279FC">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D0C30A8">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530D8768">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6151.42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190.25万元，增长3.19%。其中：基本支出</w:t>
      </w:r>
      <w:r>
        <w:rPr>
          <w:rFonts w:ascii="仿宋_GB2312" w:eastAsia="仿宋_GB2312"/>
          <w:sz w:val="28"/>
          <w:szCs w:val="28"/>
        </w:rPr>
        <w:t>5912.44</w:t>
      </w:r>
      <w:r>
        <w:rPr>
          <w:rFonts w:hint="eastAsia" w:ascii="仿宋_GB2312" w:eastAsia="仿宋_GB2312"/>
          <w:sz w:val="28"/>
          <w:szCs w:val="28"/>
        </w:rPr>
        <w:t>万元，占支出合计的96.12%；项目支出</w:t>
      </w:r>
      <w:r>
        <w:rPr>
          <w:rFonts w:ascii="仿宋_GB2312" w:eastAsia="仿宋_GB2312"/>
          <w:sz w:val="28"/>
          <w:szCs w:val="28"/>
        </w:rPr>
        <w:t>238.98</w:t>
      </w:r>
      <w:r>
        <w:rPr>
          <w:rFonts w:hint="eastAsia" w:ascii="仿宋_GB2312" w:eastAsia="仿宋_GB2312"/>
          <w:sz w:val="28"/>
          <w:szCs w:val="28"/>
        </w:rPr>
        <w:t>万元，占支出合计的3.88%;上缴上级支出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471C61B9">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3878F047">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C15B60D">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5CF741B7">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6151.42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190.25万元，增长3.19%。主要原因为2024年年初结余房补525.01万元。</w:t>
      </w:r>
    </w:p>
    <w:p w14:paraId="6D50CB10">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689CDEBE">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513B417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6151.42</w:t>
      </w:r>
      <w:r>
        <w:rPr>
          <w:rFonts w:hint="eastAsia" w:ascii="仿宋_GB2312" w:eastAsia="仿宋_GB2312"/>
          <w:sz w:val="28"/>
          <w:szCs w:val="28"/>
        </w:rPr>
        <w:t>万元，主要用于以下方面（按大类）：教育支出4430.09万元，占本年财政拨款支出72.02%； 社会保障和就业支出737.33万元，占本年财政拨款支出11.99%；卫生健康支出458.99万元，占本年财政拨款支出7.46%；住房保障支出525.01万元，占本年财政拨款支出8.53%。。</w:t>
      </w:r>
    </w:p>
    <w:p w14:paraId="41D6F2BD">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highlight w:val="none"/>
        </w:rPr>
        <w:t>（二）</w:t>
      </w:r>
      <w:r>
        <w:rPr>
          <w:rFonts w:hint="eastAsia" w:ascii="仿宋_GB2312" w:eastAsia="仿宋_GB2312"/>
          <w:sz w:val="28"/>
          <w:szCs w:val="28"/>
        </w:rPr>
        <w:t>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4530.95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4430.09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97.77</w:t>
      </w:r>
      <w:r>
        <w:rPr>
          <w:rFonts w:hint="eastAsia" w:ascii="仿宋_GB2312" w:eastAsia="仿宋_GB2312"/>
          <w:sz w:val="28"/>
          <w:szCs w:val="28"/>
        </w:rPr>
        <w:t>%。</w:t>
      </w:r>
    </w:p>
    <w:p w14:paraId="599CF82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0E60DB2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“普通教育”（款）202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4530.95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4430.09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97.77</w:t>
      </w:r>
      <w:r>
        <w:rPr>
          <w:rFonts w:hint="eastAsia" w:ascii="仿宋_GB2312" w:eastAsia="仿宋_GB2312"/>
          <w:sz w:val="28"/>
          <w:szCs w:val="28"/>
        </w:rPr>
        <w:t>%。主要原因：2024年退休5人，调出4人。</w:t>
      </w:r>
    </w:p>
    <w:p w14:paraId="17292E7A">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2.“社会保障和就业支出”(类)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714.56</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2024年度决算737.33万元，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103.18</w:t>
      </w:r>
      <w:r>
        <w:rPr>
          <w:rFonts w:hint="eastAsia" w:ascii="仿宋_GB2312" w:eastAsia="仿宋_GB2312"/>
          <w:sz w:val="28"/>
          <w:szCs w:val="28"/>
        </w:rPr>
        <w:t>%。其中：</w:t>
      </w:r>
    </w:p>
    <w:p w14:paraId="14037540">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“行政事业单位养老支出”（款）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714.56</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2024年度决算737.33万元，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103.18</w:t>
      </w:r>
      <w:r>
        <w:rPr>
          <w:rFonts w:hint="eastAsia" w:ascii="仿宋_GB2312" w:eastAsia="仿宋_GB2312"/>
          <w:sz w:val="28"/>
          <w:szCs w:val="28"/>
        </w:rPr>
        <w:t>%。主要原因：2024退休5人形成的退休费增加。</w:t>
      </w:r>
    </w:p>
    <w:p w14:paraId="4D2C53ED">
      <w:pPr>
        <w:spacing w:line="580" w:lineRule="exact"/>
        <w:ind w:firstLine="560" w:firstLineChars="200"/>
        <w:rPr>
          <w:rFonts w:ascii="仿宋_GB2312" w:eastAsia="仿宋_GB2312"/>
          <w:sz w:val="28"/>
          <w:szCs w:val="28"/>
        </w:rPr>
      </w:pPr>
      <w:r>
        <w:rPr>
          <w:rFonts w:hint="eastAsia" w:ascii="仿宋_GB2312" w:eastAsia="仿宋_GB2312"/>
          <w:sz w:val="28"/>
          <w:szCs w:val="28"/>
        </w:rPr>
        <w:t>3.“卫生健康支出”(类)202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486.91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 xml:space="preserve"> 2024年度决算458.98万元，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94.26</w:t>
      </w:r>
      <w:r>
        <w:rPr>
          <w:rFonts w:hint="eastAsia" w:ascii="仿宋_GB2312" w:eastAsia="仿宋_GB2312"/>
          <w:sz w:val="28"/>
          <w:szCs w:val="28"/>
        </w:rPr>
        <w:t>%。其中：</w:t>
      </w:r>
    </w:p>
    <w:p w14:paraId="70F7509B">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486.91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 xml:space="preserve"> 2024年度决算458.98万元，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94.26</w:t>
      </w:r>
      <w:r>
        <w:rPr>
          <w:rFonts w:hint="eastAsia" w:ascii="仿宋_GB2312" w:eastAsia="仿宋_GB2312"/>
          <w:sz w:val="28"/>
          <w:szCs w:val="28"/>
        </w:rPr>
        <w:t>%。主要原因：退休及人员调出形成的社保减少。</w:t>
      </w:r>
    </w:p>
    <w:p w14:paraId="39D07AA1">
      <w:pPr>
        <w:spacing w:line="580" w:lineRule="exact"/>
        <w:ind w:firstLine="560" w:firstLineChars="200"/>
        <w:rPr>
          <w:rFonts w:ascii="仿宋_GB2312" w:eastAsia="仿宋_GB2312"/>
          <w:sz w:val="28"/>
          <w:szCs w:val="28"/>
        </w:rPr>
      </w:pPr>
      <w:r>
        <w:rPr>
          <w:rFonts w:hint="eastAsia" w:ascii="仿宋_GB2312" w:eastAsia="仿宋_GB2312"/>
          <w:sz w:val="28"/>
          <w:szCs w:val="28"/>
        </w:rPr>
        <w:t>4.“住房保障支出”(类)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2024年度决算525.01万元</w:t>
      </w:r>
      <w:r>
        <w:rPr>
          <w:rFonts w:hint="eastAsia" w:ascii="仿宋_GB2312" w:eastAsia="仿宋_GB2312"/>
          <w:sz w:val="28"/>
          <w:szCs w:val="28"/>
          <w:lang w:eastAsia="zh-CN"/>
        </w:rPr>
        <w:t>。</w:t>
      </w:r>
      <w:r>
        <w:rPr>
          <w:rFonts w:hint="eastAsia" w:ascii="仿宋_GB2312" w:eastAsia="仿宋_GB2312" w:cs="Times New Roman"/>
          <w:color w:val="000000"/>
          <w:kern w:val="2"/>
          <w:sz w:val="28"/>
          <w:szCs w:val="28"/>
          <w:lang w:val="en-US" w:eastAsia="zh-CN" w:bidi="ar"/>
        </w:rPr>
        <w:t>房补</w:t>
      </w:r>
      <w:r>
        <w:rPr>
          <w:rFonts w:hint="eastAsia" w:ascii="仿宋_GB2312" w:hAnsi="Times New Roman" w:eastAsia="仿宋_GB2312" w:cs="Times New Roman"/>
          <w:color w:val="000000"/>
          <w:kern w:val="2"/>
          <w:sz w:val="28"/>
          <w:szCs w:val="28"/>
          <w:lang w:val="en-US" w:eastAsia="zh-CN" w:bidi="ar"/>
        </w:rPr>
        <w:t>单位不做年初预算</w:t>
      </w:r>
      <w:r>
        <w:rPr>
          <w:rFonts w:hint="eastAsia" w:ascii="仿宋_GB2312" w:eastAsia="仿宋_GB2312" w:cs="Times New Roman"/>
          <w:color w:val="000000"/>
          <w:kern w:val="2"/>
          <w:sz w:val="28"/>
          <w:szCs w:val="28"/>
          <w:lang w:val="en-US" w:eastAsia="zh-CN" w:bidi="ar"/>
        </w:rPr>
        <w:t>。</w:t>
      </w:r>
      <w:r>
        <w:rPr>
          <w:rFonts w:hint="eastAsia" w:ascii="仿宋_GB2312" w:eastAsia="仿宋_GB2312"/>
          <w:sz w:val="28"/>
          <w:szCs w:val="28"/>
        </w:rPr>
        <w:t>其中：</w:t>
      </w:r>
    </w:p>
    <w:p w14:paraId="2BE18AFE">
      <w:pPr>
        <w:spacing w:line="560" w:lineRule="exact"/>
        <w:ind w:firstLine="420" w:firstLineChars="150"/>
        <w:rPr>
          <w:rFonts w:ascii="仿宋_GB2312" w:eastAsia="仿宋_GB2312"/>
          <w:sz w:val="28"/>
          <w:szCs w:val="28"/>
        </w:rPr>
      </w:pPr>
      <w:r>
        <w:rPr>
          <w:rFonts w:hint="eastAsia" w:ascii="仿宋_GB2312" w:eastAsia="仿宋_GB2312"/>
          <w:sz w:val="28"/>
          <w:szCs w:val="28"/>
        </w:rPr>
        <w:t>“住房改革支出”（款）202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2024年度决算525.01万元</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eastAsia="仿宋_GB2312"/>
          <w:sz w:val="28"/>
          <w:szCs w:val="28"/>
          <w:lang w:eastAsia="zh-CN"/>
        </w:rPr>
        <w:t>房补年初不做预算，</w:t>
      </w:r>
      <w:bookmarkStart w:id="0" w:name="_GoBack"/>
      <w:bookmarkEnd w:id="0"/>
      <w:r>
        <w:rPr>
          <w:rFonts w:hint="eastAsia" w:ascii="仿宋_GB2312" w:eastAsia="仿宋_GB2312"/>
          <w:sz w:val="28"/>
          <w:szCs w:val="28"/>
        </w:rPr>
        <w:t>2024年初发放房补525.01万元。</w:t>
      </w:r>
    </w:p>
    <w:p w14:paraId="7A4C7DA7">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6919E30D">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本单位2024年度无政府性基金预算财政拨款安排的支出。</w:t>
      </w:r>
    </w:p>
    <w:p w14:paraId="7C34CD91">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60EFEDA9">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D09950">
      <w:pPr>
        <w:spacing w:line="580" w:lineRule="exact"/>
        <w:ind w:firstLine="548" w:firstLineChars="196"/>
        <w:rPr>
          <w:rFonts w:ascii="黑体" w:eastAsia="黑体"/>
          <w:sz w:val="28"/>
          <w:szCs w:val="28"/>
        </w:rPr>
      </w:pPr>
      <w:r>
        <w:rPr>
          <w:rFonts w:hint="eastAsia" w:ascii="黑体" w:eastAsia="黑体"/>
          <w:b/>
          <w:sz w:val="28"/>
          <w:szCs w:val="28"/>
          <w:highlight w:val="none"/>
        </w:rPr>
        <w:t>七、</w:t>
      </w:r>
      <w:r>
        <w:rPr>
          <w:rFonts w:hint="eastAsia" w:ascii="黑体" w:eastAsia="黑体"/>
          <w:b/>
          <w:sz w:val="28"/>
          <w:szCs w:val="28"/>
        </w:rPr>
        <w:t>财政拨款基本支出决算情况说明</w:t>
      </w:r>
    </w:p>
    <w:p w14:paraId="560D58C8">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5912.44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66E59EDD">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7CD5310F">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1E86DFFE">
      <w:pPr>
        <w:spacing w:line="560" w:lineRule="exact"/>
        <w:ind w:firstLine="560" w:firstLineChars="200"/>
        <w:rPr>
          <w:rFonts w:ascii="黑体" w:eastAsia="黑体"/>
          <w:sz w:val="28"/>
          <w:szCs w:val="28"/>
        </w:rPr>
      </w:pPr>
      <w:r>
        <w:rPr>
          <w:rFonts w:hint="eastAsia" w:ascii="黑体" w:eastAsia="黑体"/>
          <w:sz w:val="28"/>
          <w:szCs w:val="28"/>
        </w:rPr>
        <w:t>一、“</w:t>
      </w:r>
      <w:r>
        <w:rPr>
          <w:rFonts w:hint="eastAsia" w:ascii="黑体" w:eastAsia="黑体"/>
          <w:sz w:val="28"/>
          <w:szCs w:val="28"/>
          <w:highlight w:val="none"/>
        </w:rPr>
        <w:t>三公</w:t>
      </w:r>
      <w:r>
        <w:rPr>
          <w:rFonts w:hint="eastAsia" w:ascii="黑体" w:eastAsia="黑体"/>
          <w:sz w:val="28"/>
          <w:szCs w:val="28"/>
        </w:rPr>
        <w:t>”经费财政拨款决算情况</w:t>
      </w:r>
    </w:p>
    <w:p w14:paraId="716529CC">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12.6</w:t>
      </w:r>
      <w:r>
        <w:rPr>
          <w:rFonts w:hint="eastAsia" w:ascii="仿宋_GB2312" w:eastAsia="仿宋_GB2312"/>
          <w:sz w:val="28"/>
          <w:szCs w:val="28"/>
        </w:rPr>
        <w:t>万元，比2024年度“三公”经费财政拨款年初预算</w:t>
      </w:r>
      <w:r>
        <w:rPr>
          <w:rFonts w:ascii="仿宋_GB2312" w:eastAsia="仿宋_GB2312"/>
          <w:sz w:val="28"/>
          <w:szCs w:val="28"/>
        </w:rPr>
        <w:t>18.9</w:t>
      </w:r>
      <w:r>
        <w:rPr>
          <w:rFonts w:hint="eastAsia" w:ascii="仿宋_GB2312" w:eastAsia="仿宋_GB2312"/>
          <w:sz w:val="28"/>
          <w:szCs w:val="28"/>
        </w:rPr>
        <w:t>万元减少6.3万元。其中：</w:t>
      </w:r>
    </w:p>
    <w:p w14:paraId="51B3CB87">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15D23D10">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5E9C3E5E">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12.6</w:t>
      </w:r>
      <w:r>
        <w:rPr>
          <w:rFonts w:hint="eastAsia" w:ascii="仿宋_GB2312" w:eastAsia="仿宋_GB2312"/>
          <w:sz w:val="28"/>
          <w:szCs w:val="28"/>
        </w:rPr>
        <w:t>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18.9</w:t>
      </w:r>
      <w:r>
        <w:rPr>
          <w:rFonts w:hint="eastAsia" w:ascii="仿宋_GB2312" w:eastAsia="仿宋_GB2312"/>
          <w:sz w:val="28"/>
          <w:szCs w:val="28"/>
        </w:rPr>
        <w:t>万</w:t>
      </w:r>
      <w:r>
        <w:rPr>
          <w:rFonts w:hint="eastAsia" w:ascii="仿宋_GB2312" w:eastAsia="仿宋_GB2312"/>
          <w:sz w:val="28"/>
          <w:szCs w:val="28"/>
          <w:highlight w:val="none"/>
        </w:rPr>
        <w:t>元</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6.3</w:t>
      </w:r>
      <w:r>
        <w:rPr>
          <w:rFonts w:hint="eastAsia" w:ascii="仿宋_GB2312" w:eastAsia="仿宋_GB2312"/>
          <w:sz w:val="28"/>
          <w:szCs w:val="28"/>
          <w:highlight w:val="none"/>
        </w:rPr>
        <w:t>万元。</w:t>
      </w: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0</w:t>
      </w:r>
      <w:r>
        <w:rPr>
          <w:rFonts w:hint="eastAsia" w:ascii="仿宋_GB2312" w:eastAsia="仿宋_GB2312"/>
          <w:sz w:val="28"/>
          <w:szCs w:val="28"/>
        </w:rPr>
        <w:t>万元，主要原因：</w:t>
      </w:r>
      <w:r>
        <w:rPr>
          <w:rFonts w:hint="eastAsia" w:ascii="仿宋_GB2312" w:hAnsi="Times New Roman" w:eastAsia="仿宋_GB2312" w:cs="Times New Roman"/>
          <w:kern w:val="2"/>
          <w:sz w:val="28"/>
          <w:szCs w:val="28"/>
          <w:lang w:val="en-US" w:eastAsia="zh-CN" w:bidi="ar"/>
        </w:rPr>
        <w:t>本年度新购车辆</w:t>
      </w:r>
      <w:r>
        <w:rPr>
          <w:rFonts w:hint="eastAsia" w:ascii="仿宋_GB2312" w:eastAsia="仿宋_GB2312" w:cs="Times New Roman"/>
          <w:kern w:val="2"/>
          <w:sz w:val="28"/>
          <w:szCs w:val="28"/>
          <w:lang w:val="en-US" w:eastAsia="zh-CN" w:bidi="ar"/>
        </w:rPr>
        <w:t>0</w:t>
      </w:r>
      <w:r>
        <w:rPr>
          <w:rFonts w:hint="eastAsia" w:ascii="仿宋_GB2312" w:hAnsi="Times New Roman" w:eastAsia="仿宋_GB2312" w:cs="Times New Roman"/>
          <w:kern w:val="2"/>
          <w:sz w:val="28"/>
          <w:szCs w:val="28"/>
          <w:lang w:val="en-US" w:eastAsia="zh-CN" w:bidi="ar"/>
        </w:rPr>
        <w:t>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12.6</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7</w:t>
      </w:r>
      <w:r>
        <w:rPr>
          <w:rFonts w:hint="eastAsia" w:ascii="仿宋_GB2312" w:eastAsia="仿宋_GB2312"/>
          <w:sz w:val="28"/>
          <w:szCs w:val="28"/>
        </w:rPr>
        <w:t>辆。</w:t>
      </w:r>
    </w:p>
    <w:p w14:paraId="6F1B36B9">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5E41ECBA">
      <w:pPr>
        <w:ind w:firstLine="537" w:firstLineChars="192"/>
        <w:rPr>
          <w:rFonts w:ascii="仿宋_GB2312" w:eastAsia="仿宋_GB2312"/>
          <w:sz w:val="28"/>
          <w:szCs w:val="28"/>
        </w:rPr>
      </w:pPr>
      <w:r>
        <w:rPr>
          <w:rFonts w:hint="eastAsia" w:ascii="仿宋_GB2312" w:eastAsia="仿宋_GB2312"/>
          <w:sz w:val="28"/>
          <w:szCs w:val="28"/>
        </w:rPr>
        <w:t>本单位不在机关运行经费统计范围之内。</w:t>
      </w:r>
    </w:p>
    <w:p w14:paraId="4DFE9E14">
      <w:pPr>
        <w:ind w:left="540"/>
        <w:rPr>
          <w:rFonts w:ascii="黑体" w:eastAsia="黑体"/>
          <w:sz w:val="28"/>
          <w:szCs w:val="28"/>
        </w:rPr>
      </w:pPr>
      <w:r>
        <w:rPr>
          <w:rFonts w:hint="eastAsia" w:ascii="黑体" w:eastAsia="黑体"/>
          <w:sz w:val="28"/>
          <w:szCs w:val="28"/>
        </w:rPr>
        <w:t>三、政府采购支出情况</w:t>
      </w:r>
    </w:p>
    <w:p w14:paraId="40E88597">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12.2</w:t>
      </w:r>
      <w:r>
        <w:rPr>
          <w:rFonts w:hint="eastAsia" w:ascii="仿宋_GB2312" w:eastAsia="仿宋_GB2312"/>
          <w:sz w:val="28"/>
          <w:szCs w:val="28"/>
        </w:rPr>
        <w:t>万元，其中：政府采购货物支出0万元，政府采购工程支出0万元，政府采购服务支出12.19万元。授予中小企业合同金额</w:t>
      </w:r>
      <w:r>
        <w:rPr>
          <w:rFonts w:ascii="仿宋_GB2312" w:eastAsia="仿宋_GB2312"/>
          <w:sz w:val="28"/>
          <w:szCs w:val="28"/>
        </w:rPr>
        <w:t>8.32</w:t>
      </w:r>
      <w:r>
        <w:rPr>
          <w:rFonts w:hint="eastAsia" w:ascii="仿宋_GB2312" w:eastAsia="仿宋_GB2312"/>
          <w:sz w:val="28"/>
          <w:szCs w:val="28"/>
        </w:rPr>
        <w:t>万元，占政府采购支出总额的68.22%，其中：授予小微企业合同金额</w:t>
      </w:r>
      <w:r>
        <w:rPr>
          <w:rFonts w:ascii="仿宋_GB2312" w:eastAsia="仿宋_GB2312"/>
          <w:sz w:val="28"/>
          <w:szCs w:val="28"/>
        </w:rPr>
        <w:t>8.32</w:t>
      </w:r>
      <w:r>
        <w:rPr>
          <w:rFonts w:hint="eastAsia" w:ascii="仿宋_GB2312" w:eastAsia="仿宋_GB2312"/>
          <w:sz w:val="28"/>
          <w:szCs w:val="28"/>
        </w:rPr>
        <w:t>万元，占政府采购支出总额的</w:t>
      </w:r>
      <w:r>
        <w:rPr>
          <w:rFonts w:ascii="仿宋_GB2312" w:eastAsia="仿宋_GB2312"/>
          <w:sz w:val="28"/>
          <w:szCs w:val="28"/>
        </w:rPr>
        <w:t>68.22</w:t>
      </w:r>
      <w:r>
        <w:rPr>
          <w:rFonts w:hint="eastAsia" w:ascii="仿宋_GB2312" w:eastAsia="仿宋_GB2312"/>
          <w:sz w:val="28"/>
          <w:szCs w:val="28"/>
        </w:rPr>
        <w:t>%。</w:t>
      </w:r>
    </w:p>
    <w:p w14:paraId="094674E8">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690E14BF">
      <w:pPr>
        <w:ind w:firstLine="560" w:firstLineChars="200"/>
        <w:rPr>
          <w:rFonts w:ascii="仿宋_GB2312" w:eastAsia="仿宋_GB2312"/>
          <w:sz w:val="32"/>
          <w:szCs w:val="32"/>
        </w:rPr>
      </w:pPr>
      <w:r>
        <w:rPr>
          <w:rFonts w:hint="eastAsia" w:ascii="仿宋_GB2312" w:eastAsia="仿宋_GB2312"/>
          <w:sz w:val="28"/>
          <w:szCs w:val="28"/>
        </w:rPr>
        <w:t>截至12月31日，北京市大兴区采育中学共有车辆7台；单位价值100万元（含）以上的设备0台（套）。</w:t>
      </w:r>
    </w:p>
    <w:p w14:paraId="60A8A396">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24060AA2">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14:paraId="4C5328B6">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1275B135">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1067778">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70CCD2F">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0FF0FA6">
      <w:pPr>
        <w:ind w:firstLine="420" w:firstLineChars="150"/>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14:paraId="55A5837A">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744E669">
      <w:pPr>
        <w:ind w:firstLine="420" w:firstLineChars="150"/>
        <w:rPr>
          <w:rFonts w:ascii="仿宋_GB2312" w:eastAsia="仿宋_GB2312"/>
          <w:sz w:val="28"/>
          <w:szCs w:val="28"/>
        </w:rPr>
      </w:pPr>
      <w:r>
        <w:rPr>
          <w:rFonts w:hint="eastAsia" w:ascii="仿宋_GB2312" w:eastAsia="仿宋_GB2312"/>
          <w:sz w:val="28"/>
          <w:szCs w:val="28"/>
        </w:rPr>
        <w:t>6. 教育支出（类）普通教育（款）初中教育（项）：反映各部门举办的初中教育支出。政府各部门对社会组织等举办的初中的资助，如捐赠、补贴等，也在本科目中反映。</w:t>
      </w:r>
    </w:p>
    <w:p w14:paraId="36B53B12">
      <w:pPr>
        <w:ind w:firstLine="420" w:firstLineChars="150"/>
        <w:rPr>
          <w:rFonts w:ascii="仿宋_GB2312" w:eastAsia="仿宋_GB2312"/>
          <w:sz w:val="28"/>
          <w:szCs w:val="28"/>
        </w:rPr>
      </w:pPr>
      <w:r>
        <w:rPr>
          <w:rFonts w:hint="eastAsia" w:ascii="仿宋_GB2312" w:eastAsia="仿宋_GB2312"/>
          <w:sz w:val="28"/>
          <w:szCs w:val="28"/>
        </w:rPr>
        <w:t>7.社会保障和就业支出（类）行政事业单位养老支出（款）事业单位离退休（项）：反映事业单位开支的离退休经费。</w:t>
      </w:r>
    </w:p>
    <w:p w14:paraId="3315710C">
      <w:pPr>
        <w:ind w:firstLine="420" w:firstLineChars="150"/>
        <w:rPr>
          <w:rFonts w:ascii="仿宋_GB2312" w:eastAsia="仿宋_GB2312"/>
          <w:sz w:val="28"/>
          <w:szCs w:val="28"/>
        </w:rPr>
      </w:pPr>
      <w:r>
        <w:rPr>
          <w:rFonts w:hint="eastAsia" w:ascii="仿宋_GB2312" w:eastAsia="仿宋_GB2312"/>
          <w:sz w:val="28"/>
          <w:szCs w:val="28"/>
        </w:rPr>
        <w:t>8.社会保障和就业支出（类）行政事业单位养老支出（款）机关事业单位基本养老保险缴费支出（项）：反映机关事业单位实施养老保险制度由单位缴纳的基本养老保险费支出。</w:t>
      </w:r>
    </w:p>
    <w:p w14:paraId="5D573739">
      <w:pPr>
        <w:ind w:firstLine="420" w:firstLineChars="150"/>
        <w:rPr>
          <w:rFonts w:ascii="仿宋_GB2312" w:eastAsia="仿宋_GB2312"/>
          <w:sz w:val="28"/>
          <w:szCs w:val="28"/>
        </w:rPr>
      </w:pPr>
      <w:r>
        <w:rPr>
          <w:rFonts w:hint="eastAsia" w:ascii="仿宋_GB2312" w:eastAsia="仿宋_GB2312"/>
          <w:sz w:val="28"/>
          <w:szCs w:val="28"/>
        </w:rPr>
        <w:t>9.社会保障和就业支出（类）行政事业单位养老支出（款）机关事业单位职业年金缴费支出（项）：反映机关事业单位实施养老保险制度由单位实际缴纳的职业年金支出。</w:t>
      </w:r>
    </w:p>
    <w:p w14:paraId="616E29B1">
      <w:pPr>
        <w:ind w:firstLine="420" w:firstLineChars="150"/>
        <w:rPr>
          <w:rFonts w:ascii="仿宋_GB2312" w:eastAsia="仿宋_GB2312"/>
          <w:sz w:val="28"/>
          <w:szCs w:val="28"/>
        </w:rPr>
      </w:pPr>
      <w:r>
        <w:rPr>
          <w:rFonts w:hint="eastAsia" w:ascii="仿宋_GB2312" w:eastAsia="仿宋_GB2312"/>
          <w:sz w:val="28"/>
          <w:szCs w:val="28"/>
        </w:rPr>
        <w:t>10.社会保障和就业支出（类）行政事业单位养老支出（款）其他行政事业单位养老支出（项）：反映除上述项目以外其他用于行政事业单位养老方面的支出。</w:t>
      </w:r>
    </w:p>
    <w:p w14:paraId="27C9A3CD">
      <w:pPr>
        <w:ind w:firstLine="420" w:firstLineChars="150"/>
        <w:rPr>
          <w:rFonts w:ascii="仿宋_GB2312" w:eastAsia="仿宋_GB2312"/>
          <w:sz w:val="28"/>
          <w:szCs w:val="28"/>
        </w:rPr>
      </w:pPr>
      <w:r>
        <w:rPr>
          <w:rFonts w:hint="eastAsia" w:ascii="仿宋_GB2312" w:eastAsia="仿宋_GB2312"/>
          <w:sz w:val="28"/>
          <w:szCs w:val="28"/>
        </w:rPr>
        <w:t>11.卫生健康支出（类）行政事业单位医疗（款）事业单位医疗（项）：反映财政部门安排的事业单位基本医疗保险缴费经费，未参加医疗保险的事业单位的公费医疗经费，按国家规定享受离退休人员待遇的医疗经费。</w:t>
      </w:r>
    </w:p>
    <w:p w14:paraId="70C46744">
      <w:pPr>
        <w:ind w:firstLine="420" w:firstLineChars="150"/>
        <w:rPr>
          <w:rFonts w:ascii="仿宋_GB2312" w:eastAsia="仿宋_GB2312"/>
          <w:sz w:val="28"/>
          <w:szCs w:val="28"/>
        </w:rPr>
      </w:pPr>
      <w:r>
        <w:rPr>
          <w:rFonts w:hint="eastAsia" w:ascii="仿宋_GB2312" w:eastAsia="仿宋_GB2312"/>
          <w:sz w:val="28"/>
          <w:szCs w:val="28"/>
        </w:rPr>
        <w:t>12.卫生健康支出（类）行政事业单位医疗（款）公务员医疗补助（项）：反映财政部门安排的公务员医疗补助经费。</w:t>
      </w:r>
    </w:p>
    <w:p w14:paraId="608684AD">
      <w:pPr>
        <w:ind w:firstLine="560" w:firstLineChars="200"/>
        <w:rPr>
          <w:rFonts w:ascii="仿宋_GB2312" w:eastAsia="仿宋_GB2312"/>
          <w:sz w:val="28"/>
          <w:szCs w:val="28"/>
        </w:rPr>
      </w:pPr>
      <w:r>
        <w:rPr>
          <w:rFonts w:hint="eastAsia" w:ascii="仿宋_GB2312" w:eastAsia="仿宋_GB2312"/>
          <w:sz w:val="28"/>
          <w:szCs w:val="28"/>
        </w:rPr>
        <w:t>13.住房保障支出（类）住房改革支出（款）购房补贴（项）：反应按房改政策规定，行政事业单位向符合条件职工（含离退休人员）、军队（含武警）向转役复员离退休人员发放的用于购买住房的补贴。</w:t>
      </w:r>
    </w:p>
    <w:p w14:paraId="7928911D">
      <w:pPr>
        <w:rPr>
          <w:rFonts w:ascii="黑体" w:eastAsia="黑体"/>
          <w:sz w:val="32"/>
          <w:szCs w:val="32"/>
        </w:rPr>
      </w:pPr>
    </w:p>
    <w:p w14:paraId="1523688B">
      <w:pPr>
        <w:tabs>
          <w:tab w:val="center" w:pos="6979"/>
        </w:tabs>
        <w:spacing w:line="380" w:lineRule="exact"/>
        <w:jc w:val="center"/>
        <w:rPr>
          <w:rFonts w:ascii="宋体" w:hAnsi="宋体" w:cs="宋体"/>
          <w:b/>
          <w:bCs/>
          <w:kern w:val="0"/>
          <w:sz w:val="28"/>
          <w:szCs w:val="28"/>
        </w:rPr>
      </w:pPr>
    </w:p>
    <w:p w14:paraId="60379324">
      <w:pPr>
        <w:tabs>
          <w:tab w:val="center" w:pos="6979"/>
        </w:tabs>
        <w:spacing w:line="380" w:lineRule="exact"/>
        <w:jc w:val="center"/>
        <w:rPr>
          <w:rFonts w:ascii="宋体" w:hAnsi="宋体" w:cs="宋体"/>
          <w:b/>
          <w:bCs/>
          <w:kern w:val="0"/>
          <w:sz w:val="28"/>
          <w:szCs w:val="28"/>
        </w:rPr>
      </w:pPr>
    </w:p>
    <w:p w14:paraId="297F138B">
      <w:pPr>
        <w:rPr>
          <w:rFonts w:ascii="黑体" w:eastAsia="黑体"/>
          <w:sz w:val="32"/>
          <w:szCs w:val="32"/>
        </w:rPr>
      </w:pPr>
    </w:p>
    <w:p w14:paraId="50C128C3">
      <w:pPr>
        <w:ind w:firstLine="640" w:firstLineChars="200"/>
        <w:jc w:val="center"/>
        <w:rPr>
          <w:rFonts w:ascii="黑体" w:eastAsia="黑体"/>
          <w:sz w:val="32"/>
          <w:szCs w:val="32"/>
        </w:rPr>
      </w:pPr>
    </w:p>
    <w:p w14:paraId="1CFAFEE8">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7DB11792">
      <w:pPr>
        <w:ind w:firstLine="560" w:firstLineChars="200"/>
        <w:rPr>
          <w:rFonts w:ascii="黑体" w:eastAsia="黑体"/>
          <w:sz w:val="28"/>
          <w:szCs w:val="28"/>
          <w:highlight w:val="yellow"/>
        </w:rPr>
      </w:pPr>
    </w:p>
    <w:p w14:paraId="5EE5538F">
      <w:pPr>
        <w:numPr>
          <w:ilvl w:val="0"/>
          <w:numId w:val="0"/>
        </w:numPr>
        <w:ind w:firstLine="5600" w:firstLineChars="20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14:paraId="77DE8D0B">
      <w:pPr>
        <w:spacing w:line="480" w:lineRule="exact"/>
        <w:ind w:firstLine="420"/>
        <w:rPr>
          <w:rFonts w:ascii="黑体" w:eastAsia="黑体"/>
          <w:sz w:val="28"/>
          <w:szCs w:val="28"/>
        </w:rPr>
      </w:pPr>
      <w:r>
        <w:rPr>
          <w:rFonts w:hint="eastAsia" w:ascii="黑体" w:eastAsia="黑体"/>
          <w:sz w:val="28"/>
          <w:szCs w:val="28"/>
        </w:rPr>
        <w:t xml:space="preserve"> </w:t>
      </w:r>
    </w:p>
    <w:p w14:paraId="0B82B933">
      <w:pPr>
        <w:spacing w:line="480" w:lineRule="exact"/>
        <w:rPr>
          <w:rFonts w:ascii="仿宋_GB2312" w:hAnsi="仿宋_GB2312" w:eastAsia="仿宋_GB2312" w:cs="仿宋_GB2312"/>
          <w:sz w:val="32"/>
          <w:szCs w:val="32"/>
        </w:rPr>
      </w:pPr>
    </w:p>
    <w:p w14:paraId="5E8C6A9A">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Arial Unicode MS"/>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DDD673">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7BAABFF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5165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4</w:t>
    </w:r>
    <w:r>
      <w:fldChar w:fldCharType="end"/>
    </w:r>
  </w:p>
  <w:p w14:paraId="69902114">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F21692">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4163A29">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13E2"/>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15501"/>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A84572"/>
    <w:rsid w:val="079004AC"/>
    <w:rsid w:val="07B02A08"/>
    <w:rsid w:val="08275C22"/>
    <w:rsid w:val="08E25FED"/>
    <w:rsid w:val="0BA148CA"/>
    <w:rsid w:val="0C1165C4"/>
    <w:rsid w:val="0CDB6FDB"/>
    <w:rsid w:val="0D065B40"/>
    <w:rsid w:val="0D6D544B"/>
    <w:rsid w:val="0DD136FE"/>
    <w:rsid w:val="0F542F2C"/>
    <w:rsid w:val="0F8E2C57"/>
    <w:rsid w:val="1059665E"/>
    <w:rsid w:val="105E7259"/>
    <w:rsid w:val="10AC13BA"/>
    <w:rsid w:val="119105B0"/>
    <w:rsid w:val="145A6C1B"/>
    <w:rsid w:val="148C6ED9"/>
    <w:rsid w:val="14B73493"/>
    <w:rsid w:val="15121A08"/>
    <w:rsid w:val="167A2FF9"/>
    <w:rsid w:val="171F3E2C"/>
    <w:rsid w:val="1764587C"/>
    <w:rsid w:val="18581C69"/>
    <w:rsid w:val="1AEC0734"/>
    <w:rsid w:val="1DEF20B0"/>
    <w:rsid w:val="1FF7AB17"/>
    <w:rsid w:val="214243FA"/>
    <w:rsid w:val="21AD613C"/>
    <w:rsid w:val="22467189"/>
    <w:rsid w:val="233E3859"/>
    <w:rsid w:val="257A14F5"/>
    <w:rsid w:val="259A4C2A"/>
    <w:rsid w:val="25BF5294"/>
    <w:rsid w:val="264B4D7A"/>
    <w:rsid w:val="27196C26"/>
    <w:rsid w:val="29EF086F"/>
    <w:rsid w:val="2BC34C59"/>
    <w:rsid w:val="2EFFE297"/>
    <w:rsid w:val="2F1A178D"/>
    <w:rsid w:val="2F9C03F4"/>
    <w:rsid w:val="301437CA"/>
    <w:rsid w:val="313034EA"/>
    <w:rsid w:val="34204A13"/>
    <w:rsid w:val="349D1F0A"/>
    <w:rsid w:val="34DD0473"/>
    <w:rsid w:val="35FE7713"/>
    <w:rsid w:val="3A8E35DC"/>
    <w:rsid w:val="3C684897"/>
    <w:rsid w:val="429C09DF"/>
    <w:rsid w:val="433E495C"/>
    <w:rsid w:val="4886118F"/>
    <w:rsid w:val="489F2FD7"/>
    <w:rsid w:val="49627460"/>
    <w:rsid w:val="4970227E"/>
    <w:rsid w:val="4AC27CB3"/>
    <w:rsid w:val="4BF72BEF"/>
    <w:rsid w:val="4E516B8F"/>
    <w:rsid w:val="4FA90297"/>
    <w:rsid w:val="4FC41A43"/>
    <w:rsid w:val="4FDA0D40"/>
    <w:rsid w:val="51DB3C59"/>
    <w:rsid w:val="53760DD8"/>
    <w:rsid w:val="550C0952"/>
    <w:rsid w:val="55762E42"/>
    <w:rsid w:val="57875362"/>
    <w:rsid w:val="57A7B272"/>
    <w:rsid w:val="58470068"/>
    <w:rsid w:val="58747CAC"/>
    <w:rsid w:val="58C51BA9"/>
    <w:rsid w:val="5A1720F9"/>
    <w:rsid w:val="5A7E18F4"/>
    <w:rsid w:val="5B9C37C2"/>
    <w:rsid w:val="5BA7C654"/>
    <w:rsid w:val="5DF716AE"/>
    <w:rsid w:val="5F9F507E"/>
    <w:rsid w:val="60A54109"/>
    <w:rsid w:val="61D01CDF"/>
    <w:rsid w:val="6279489B"/>
    <w:rsid w:val="63BA692F"/>
    <w:rsid w:val="63C06AD7"/>
    <w:rsid w:val="64C0607C"/>
    <w:rsid w:val="65756C86"/>
    <w:rsid w:val="657F2F22"/>
    <w:rsid w:val="663F59AE"/>
    <w:rsid w:val="66811B16"/>
    <w:rsid w:val="674D385B"/>
    <w:rsid w:val="676F09E1"/>
    <w:rsid w:val="6BA65B5A"/>
    <w:rsid w:val="6D2A6A64"/>
    <w:rsid w:val="708C07E7"/>
    <w:rsid w:val="711E068D"/>
    <w:rsid w:val="71691990"/>
    <w:rsid w:val="71793A80"/>
    <w:rsid w:val="7357290B"/>
    <w:rsid w:val="756E3DEA"/>
    <w:rsid w:val="76FB1693"/>
    <w:rsid w:val="78E81581"/>
    <w:rsid w:val="798524E4"/>
    <w:rsid w:val="7A7F1C49"/>
    <w:rsid w:val="7B5B7AE6"/>
    <w:rsid w:val="7B7B6628"/>
    <w:rsid w:val="7BA7071E"/>
    <w:rsid w:val="7BDF6DA8"/>
    <w:rsid w:val="7C7EDC1A"/>
    <w:rsid w:val="7CCED98D"/>
    <w:rsid w:val="7D08410F"/>
    <w:rsid w:val="7D8F3FF1"/>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5626.4</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a7ca9366-84fe-4fdc-a9f2-4376e280f342}"/>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5912.44</c:v>
                </c:pt>
                <c:pt idx="1">
                  <c:v>238.98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fe603cf-108a-4f57-81cb-7382b113d380}"/>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3519</Words>
  <Characters>4153</Characters>
  <Lines>6</Lines>
  <Paragraphs>8</Paragraphs>
  <TotalTime>2</TotalTime>
  <ScaleCrop>false</ScaleCrop>
  <LinksUpToDate>false</LinksUpToDate>
  <CharactersWithSpaces>4178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哈哈静</cp:lastModifiedBy>
  <cp:lastPrinted>2020-08-09T03:39:00Z</cp:lastPrinted>
  <dcterms:modified xsi:type="dcterms:W3CDTF">2025-09-26T02:50:05Z</dcterms:modified>
  <dc:title>北京市财政局关于做好向市人大常委会报送2015年度市级部门决算（草案）</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eyJoZGlkIjoiZjY0OTIyMmMyNzBhZDM3NzY0ODYzOGRjYzljNmI1MjkiLCJ1c2VySWQiOiIxMzg3ODEyOTUzIn0=</vt:lpwstr>
  </property>
</Properties>
</file>