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1.单位职责</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（1）开展成人教育和各层次成人培训工作；</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（2）开展学历教育，通过</w:t>
      </w:r>
      <w:r>
        <w:rPr>
          <w:rFonts w:ascii="仿宋_GB2312" w:eastAsia="仿宋_GB2312"/>
          <w:sz w:val="28"/>
          <w:szCs w:val="28"/>
        </w:rPr>
        <w:t>联合办学</w:t>
      </w:r>
      <w:r>
        <w:rPr>
          <w:rFonts w:hint="eastAsia" w:ascii="仿宋_GB2312" w:eastAsia="仿宋_GB2312"/>
          <w:sz w:val="28"/>
          <w:szCs w:val="28"/>
        </w:rPr>
        <w:t>开办专科、本科学历班；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（3）负责向社会提供各种技能培训和相关技术性服务；</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（4）提供就业指导；</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（5）负责试点性和示范性技能培训项目的组织与实施；</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（6）提供农村剩余劳动力向二、三产业转移的各种相关服务；</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（7）完成镇政府和上级主管部门的各种培训工作；</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（8）指导、促进、发展村级成人学校的建设。</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2.机构设置情况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内设机构:校长室、副校长室、办公室、总务处、培训处、财务室。</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总计352.50万元，</w:t>
      </w:r>
      <w:r>
        <w:rPr>
          <w:rFonts w:ascii="仿宋_GB2312" w:eastAsia="仿宋_GB2312"/>
          <w:sz w:val="28"/>
          <w:szCs w:val="28"/>
        </w:rPr>
        <w:t>比上年</w:t>
      </w:r>
      <w:r>
        <w:rPr>
          <w:rFonts w:hint="eastAsia" w:ascii="仿宋_GB2312" w:eastAsia="仿宋_GB2312"/>
          <w:sz w:val="28"/>
          <w:szCs w:val="28"/>
        </w:rPr>
        <w:t>减少41.35万元，下降10.5%。</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2024年度本年收入合计328.00万元，</w:t>
      </w:r>
      <w:r>
        <w:rPr>
          <w:rFonts w:ascii="仿宋_GB2312" w:eastAsia="仿宋_GB2312"/>
          <w:sz w:val="28"/>
          <w:szCs w:val="28"/>
        </w:rPr>
        <w:t>比上年</w:t>
      </w:r>
      <w:r>
        <w:rPr>
          <w:rFonts w:hint="eastAsia" w:ascii="仿宋_GB2312" w:eastAsia="仿宋_GB2312"/>
          <w:sz w:val="28"/>
          <w:szCs w:val="28"/>
        </w:rPr>
        <w:t>减少56.54万元，下降14.7%。</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328.00万元，占收入合计的100%。其中：一般公共预算财政拨款收入328.00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2024年度本年支出合计352.50万元，</w:t>
      </w:r>
      <w:r>
        <w:rPr>
          <w:rFonts w:ascii="仿宋_GB2312" w:eastAsia="仿宋_GB2312"/>
          <w:sz w:val="28"/>
          <w:szCs w:val="28"/>
        </w:rPr>
        <w:t>比上年</w:t>
      </w:r>
      <w:r>
        <w:rPr>
          <w:rFonts w:hint="eastAsia" w:ascii="仿宋_GB2312" w:eastAsia="仿宋_GB2312"/>
          <w:sz w:val="28"/>
          <w:szCs w:val="28"/>
        </w:rPr>
        <w:t>减少41.35万元，下降10.5%，其中：基本支出</w:t>
      </w:r>
      <w:r>
        <w:rPr>
          <w:rFonts w:ascii="仿宋_GB2312" w:eastAsia="仿宋_GB2312"/>
          <w:sz w:val="28"/>
          <w:szCs w:val="28"/>
        </w:rPr>
        <w:t>347.33</w:t>
      </w:r>
      <w:r>
        <w:rPr>
          <w:rFonts w:hint="eastAsia" w:ascii="仿宋_GB2312" w:eastAsia="仿宋_GB2312"/>
          <w:sz w:val="28"/>
          <w:szCs w:val="28"/>
        </w:rPr>
        <w:t>万元，占支出合计的98.53%；项目支出</w:t>
      </w:r>
      <w:r>
        <w:rPr>
          <w:rFonts w:ascii="仿宋_GB2312" w:eastAsia="仿宋_GB2312"/>
          <w:sz w:val="28"/>
          <w:szCs w:val="28"/>
        </w:rPr>
        <w:t>5.17</w:t>
      </w:r>
      <w:r>
        <w:rPr>
          <w:rFonts w:hint="eastAsia" w:ascii="仿宋_GB2312" w:eastAsia="仿宋_GB2312"/>
          <w:sz w:val="28"/>
          <w:szCs w:val="28"/>
        </w:rPr>
        <w:t>万元，占支出合计的1.47%;上缴上级支出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83845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总计352.50万元，</w:t>
      </w:r>
      <w:r>
        <w:rPr>
          <w:rFonts w:ascii="仿宋_GB2312" w:eastAsia="仿宋_GB2312"/>
          <w:sz w:val="28"/>
          <w:szCs w:val="28"/>
        </w:rPr>
        <w:t>比上年</w:t>
      </w:r>
      <w:r>
        <w:rPr>
          <w:rFonts w:hint="eastAsia" w:ascii="仿宋_GB2312" w:eastAsia="仿宋_GB2312"/>
          <w:sz w:val="28"/>
          <w:szCs w:val="28"/>
        </w:rPr>
        <w:t>减少41.35万元，下降10.5%。</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352.50万元，主要用于以下方面：教育支出263.09万元，占本年财政拨款支出74.64%。社会保障和就业支出37.36万元，占本年财政拨款支出10.60%。卫生健康支出27.54万元，占本年财政拨款支出7.81%。住房保障支出24.50万元，占本年财政拨款支出6.95%。</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1、“教育支出”2024年度年初预算266.83万元，2024年度决算263.09万元，完成年初预算的98.60%。其中：“成人教育</w:t>
      </w:r>
      <w:r>
        <w:rPr>
          <w:rFonts w:ascii="仿宋_GB2312" w:eastAsia="仿宋_GB2312"/>
          <w:sz w:val="28"/>
          <w:szCs w:val="28"/>
        </w:rPr>
        <w:t>”</w:t>
      </w:r>
      <w:r>
        <w:rPr>
          <w:rFonts w:hint="eastAsia" w:ascii="仿宋_GB2312" w:eastAsia="仿宋_GB2312"/>
          <w:sz w:val="28"/>
          <w:szCs w:val="28"/>
        </w:rPr>
        <w:t>2024年度年初预算266.83万元，2024年度决算263.09万元，完成年初预算的98.60%。主要原因:项目经费减少。</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2、“社会保障和就业支出” 2024年度年初预算34.50万元，2024年度决算37.36万元，完成年初预算的108.29%。其中：“行政事业单位养老支出” 2024年度年初预算34.50万元，2024年度决算37.36万元，完成年初预算的108.29%。主要原因:缴费基数调整经费增加。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3、“卫生健康支出”2024年度年初预算26.76万元，2024年度决算27.54万元，完成年初预算的102.91%。其中：“行政事业单位医疗</w:t>
      </w:r>
      <w:r>
        <w:rPr>
          <w:rFonts w:ascii="仿宋_GB2312" w:eastAsia="仿宋_GB2312"/>
          <w:sz w:val="28"/>
          <w:szCs w:val="28"/>
        </w:rPr>
        <w:t>”</w:t>
      </w:r>
      <w:r>
        <w:rPr>
          <w:rFonts w:hint="eastAsia" w:ascii="仿宋_GB2312" w:eastAsia="仿宋_GB2312"/>
          <w:sz w:val="28"/>
          <w:szCs w:val="28"/>
        </w:rPr>
        <w:t>2024年度年初预算26.76万元，2024年度决算27.54万元，完成年初预算的102.91%。主要原因: 缴费基数调整经费增加。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4、“住房保障支出”2024年度年初预算0万元，2024年度决算24.5万元。其中：“住房改革支出</w:t>
      </w:r>
      <w:r>
        <w:rPr>
          <w:rFonts w:ascii="仿宋_GB2312" w:eastAsia="仿宋_GB2312"/>
          <w:sz w:val="28"/>
          <w:szCs w:val="28"/>
        </w:rPr>
        <w:t>”</w:t>
      </w:r>
      <w:r>
        <w:rPr>
          <w:rFonts w:hint="eastAsia" w:ascii="仿宋_GB2312" w:eastAsia="仿宋_GB2312"/>
          <w:sz w:val="28"/>
          <w:szCs w:val="28"/>
        </w:rPr>
        <w:t>2024年度年初预算0万元，2024年度决算24.5万元。主要原因：本年度补发第三批住房补贴。</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347.33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bookmarkStart w:id="0" w:name="_GoBack"/>
      <w:bookmarkEnd w:id="0"/>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1.77</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万元减少0.93万元。其中：</w:t>
      </w:r>
    </w:p>
    <w:p>
      <w:pPr>
        <w:numPr>
          <w:ilvl w:val="0"/>
          <w:numId w:val="1"/>
        </w:numPr>
        <w:spacing w:line="560" w:lineRule="exact"/>
        <w:ind w:firstLine="600"/>
        <w:rPr>
          <w:rFonts w:ascii="仿宋_GB2312" w:eastAsia="仿宋_GB2312"/>
          <w:sz w:val="28"/>
          <w:szCs w:val="28"/>
        </w:rPr>
      </w:pPr>
      <w:r>
        <w:rPr>
          <w:rFonts w:hint="eastAsia" w:ascii="仿宋_GB2312" w:eastAsia="仿宋_GB2312"/>
          <w:sz w:val="28"/>
          <w:szCs w:val="28"/>
        </w:rPr>
        <w:t>因公出国（境）费用。2024年度决算数0万元，比2024年度年初预算数0万元增减无变化，保持一致。主要原因：</w:t>
      </w:r>
      <w:r>
        <w:rPr>
          <w:rFonts w:hint="eastAsia" w:ascii="仿宋_GB2312" w:eastAsia="仿宋_GB2312"/>
          <w:color w:val="000000"/>
          <w:sz w:val="28"/>
          <w:szCs w:val="28"/>
        </w:rPr>
        <w:t>是因公出国（境）费用根据年度出国审批情况作为追加项目管理，单位不做年初预算，本年也没有出国审批项目发生</w:t>
      </w:r>
      <w:r>
        <w:rPr>
          <w:rFonts w:hint="eastAsia" w:ascii="仿宋_GB2312" w:eastAsia="仿宋_GB2312"/>
          <w:sz w:val="28"/>
          <w:szCs w:val="28"/>
        </w:rPr>
        <w:t>；2024年度因公出国（境）费用主要用于</w:t>
      </w:r>
      <w:r>
        <w:rPr>
          <w:rFonts w:hint="eastAsia" w:ascii="仿宋_GB2312" w:eastAsia="仿宋_GB2312"/>
          <w:color w:val="000000"/>
          <w:sz w:val="28"/>
          <w:szCs w:val="28"/>
        </w:rPr>
        <w:t>出国（境）的会议、培训交流等事项</w:t>
      </w:r>
      <w:r>
        <w:rPr>
          <w:rFonts w:hint="eastAsia" w:ascii="仿宋_GB2312" w:eastAsia="仿宋_GB2312"/>
          <w:sz w:val="28"/>
          <w:szCs w:val="28"/>
        </w:rPr>
        <w:t>等，2024年度组织因公出国（境）团组0个、0人次。</w:t>
      </w:r>
    </w:p>
    <w:p>
      <w:pPr>
        <w:numPr>
          <w:ilvl w:val="0"/>
          <w:numId w:val="1"/>
        </w:numPr>
        <w:spacing w:line="560" w:lineRule="exact"/>
        <w:ind w:firstLine="600"/>
        <w:rPr>
          <w:rFonts w:ascii="仿宋_GB2312" w:eastAsia="仿宋_GB2312"/>
          <w:sz w:val="28"/>
          <w:szCs w:val="28"/>
        </w:rPr>
      </w:pPr>
      <w:r>
        <w:rPr>
          <w:rFonts w:hint="eastAsia" w:ascii="仿宋_GB2312" w:eastAsia="仿宋_GB2312"/>
          <w:sz w:val="28"/>
          <w:szCs w:val="28"/>
        </w:rPr>
        <w:t>公务接待费。2024年度决算数0万元，比2024年度年初预算数0万元增减无变化，保持一致，主要原因：</w:t>
      </w:r>
      <w:r>
        <w:rPr>
          <w:rFonts w:hint="eastAsia" w:ascii="仿宋_GB2312" w:eastAsia="仿宋_GB2312"/>
          <w:color w:val="000000"/>
          <w:sz w:val="28"/>
          <w:szCs w:val="28"/>
        </w:rPr>
        <w:t>本年度无公务接待支出</w:t>
      </w:r>
      <w:r>
        <w:rPr>
          <w:rFonts w:hint="eastAsia" w:ascii="仿宋_GB2312" w:eastAsia="仿宋_GB2312"/>
          <w:sz w:val="28"/>
          <w:szCs w:val="28"/>
        </w:rPr>
        <w:t>。2024年度公务接待费主要用于公务接待事项。公务接待0批次，公务接待0人次。</w:t>
      </w:r>
    </w:p>
    <w:p>
      <w:pPr>
        <w:numPr>
          <w:ilvl w:val="0"/>
          <w:numId w:val="1"/>
        </w:numPr>
        <w:spacing w:line="560" w:lineRule="exact"/>
        <w:ind w:firstLine="600"/>
        <w:rPr>
          <w:rFonts w:ascii="仿宋_GB2312" w:eastAsia="仿宋_GB2312"/>
          <w:sz w:val="28"/>
          <w:szCs w:val="28"/>
        </w:rPr>
      </w:pPr>
      <w:r>
        <w:rPr>
          <w:rFonts w:hint="eastAsia" w:ascii="仿宋_GB2312" w:eastAsia="仿宋_GB2312"/>
          <w:sz w:val="28"/>
          <w:szCs w:val="28"/>
        </w:rPr>
        <w:t>公务用车购置及运行维护费。2024年度决算数1.77万元，比2024年度年初预算数2.7万元减少0.93万元。其中，公务用车购置费2024年度决算数0万元，比2024年度年初预算数0万元对比无变化，主要原因：2024年度购置（更新）0辆。公务用车运行维护费2024年度决算数1.77万元，主要原因：原因是严格落实公务用车使用规定，认真贯彻厉行节约反对浪费的有关要求，本着节俭高效的原则,进一步加强公务用车管理,减少费用支出。2024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1.67</w:t>
      </w:r>
      <w:r>
        <w:rPr>
          <w:rFonts w:hint="eastAsia" w:ascii="仿宋_GB2312" w:eastAsia="仿宋_GB2312"/>
          <w:sz w:val="28"/>
          <w:szCs w:val="28"/>
        </w:rPr>
        <w:t>万元，其中：政府采购货物支出0万元，政府采购工程支出0万元，政府采购服务支出1.67万元。授予中小企业合同金额</w:t>
      </w:r>
      <w:r>
        <w:rPr>
          <w:rFonts w:ascii="仿宋_GB2312" w:eastAsia="仿宋_GB2312"/>
          <w:sz w:val="28"/>
          <w:szCs w:val="28"/>
        </w:rPr>
        <w:t>1.55</w:t>
      </w:r>
      <w:r>
        <w:rPr>
          <w:rFonts w:hint="eastAsia" w:ascii="仿宋_GB2312" w:eastAsia="仿宋_GB2312"/>
          <w:sz w:val="28"/>
          <w:szCs w:val="28"/>
        </w:rPr>
        <w:t>万元，占政府采购支出总额的92.53%，其中：授予小微企业合同金额</w:t>
      </w:r>
      <w:r>
        <w:rPr>
          <w:rFonts w:ascii="仿宋_GB2312" w:eastAsia="仿宋_GB2312"/>
          <w:sz w:val="28"/>
          <w:szCs w:val="28"/>
        </w:rPr>
        <w:t>1.55</w:t>
      </w:r>
      <w:r>
        <w:rPr>
          <w:rFonts w:hint="eastAsia" w:ascii="仿宋_GB2312" w:eastAsia="仿宋_GB2312"/>
          <w:sz w:val="28"/>
          <w:szCs w:val="28"/>
        </w:rPr>
        <w:t>万元，占政府采购支出总额的</w:t>
      </w:r>
      <w:r>
        <w:rPr>
          <w:rFonts w:ascii="仿宋_GB2312" w:eastAsia="仿宋_GB2312"/>
          <w:sz w:val="28"/>
          <w:szCs w:val="28"/>
        </w:rPr>
        <w:t>92.53</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截至12月31日，北京市大兴区青云店镇成人学校共有车辆3台；单位价值100万元（含）以上的设备0台（套）。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7.教育支出（类）普通教育（款）其他普通教育支出（项）：反映除学前教育、小学教育、初中教育、高中教育、高等教育项目以外其他用于普通教育方面的支出。</w:t>
      </w:r>
    </w:p>
    <w:p>
      <w:pPr>
        <w:ind w:firstLine="420" w:firstLineChars="150"/>
        <w:rPr>
          <w:rFonts w:ascii="仿宋_GB2312" w:eastAsia="仿宋_GB2312"/>
          <w:sz w:val="28"/>
          <w:szCs w:val="28"/>
        </w:rPr>
      </w:pPr>
      <w:r>
        <w:rPr>
          <w:rFonts w:hint="eastAsia" w:ascii="仿宋_GB2312" w:eastAsia="仿宋_GB2312"/>
          <w:sz w:val="28"/>
          <w:szCs w:val="28"/>
        </w:rPr>
        <w:t>8.教育支出（类）成人教育（款）成人初等教育（项）：反映各部门举办各类成人初等教育的支出。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pStyle w:val="2"/>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ind w:firstLine="840" w:firstLineChars="3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C5E21B"/>
    <w:multiLevelType w:val="singleLevel"/>
    <w:tmpl w:val="E5C5E21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3C2C"/>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1688"/>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45B"/>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26C3C"/>
    <w:rsid w:val="00631827"/>
    <w:rsid w:val="00632804"/>
    <w:rsid w:val="00632EB1"/>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7A70"/>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37F53"/>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4C7C"/>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1BA1"/>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23B"/>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3E380318"/>
    <w:rsid w:val="433E495C"/>
    <w:rsid w:val="489F2FD7"/>
    <w:rsid w:val="4AC27CB3"/>
    <w:rsid w:val="4BF72BEF"/>
    <w:rsid w:val="4FA43B4F"/>
    <w:rsid w:val="4FA90297"/>
    <w:rsid w:val="4FC41A43"/>
    <w:rsid w:val="51DB3C59"/>
    <w:rsid w:val="542745CA"/>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0DA1A9F"/>
    <w:rsid w:val="71691990"/>
    <w:rsid w:val="71793A80"/>
    <w:rsid w:val="7357290B"/>
    <w:rsid w:val="756E3DEA"/>
    <w:rsid w:val="76FB1693"/>
    <w:rsid w:val="783173E7"/>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01"/>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347.33</c:v>
                </c:pt>
                <c:pt idx="1">
                  <c:v>5.17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660</Words>
  <Characters>3762</Characters>
  <Lines>31</Lines>
  <Paragraphs>8</Paragraphs>
  <TotalTime>0</TotalTime>
  <ScaleCrop>false</ScaleCrop>
  <LinksUpToDate>false</LinksUpToDate>
  <CharactersWithSpaces>4414</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2020-08-09T03:39:00Z</cp:lastPrinted>
  <dcterms:modified xsi:type="dcterms:W3CDTF">2025-09-28T08:38:38Z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6B7F3C73007E45759F25D8E5DCC6C7B3</vt:lpwstr>
  </property>
  <property fmtid="{D5CDD505-2E9C-101B-9397-08002B2CF9AE}" pid="4" name="KSOTemplateDocerSaveRecord">
    <vt:lpwstr>eyJoZGlkIjoiNzMxN2JkNmM4ZTkzNDgyM2Q4M2YwYWE0Njk2ZDNiZjgiLCJ1c2VySWQiOiIxMDIxNjc4MDEyIn0=</vt:lpwstr>
  </property>
</Properties>
</file>