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部门职责：开展成人教育和各层次成人培训工作。</w:t>
      </w:r>
    </w:p>
    <w:p>
      <w:pPr>
        <w:tabs>
          <w:tab w:val="center" w:pos="6979"/>
        </w:tabs>
        <w:spacing w:line="580" w:lineRule="exact"/>
        <w:ind w:firstLine="560" w:firstLineChars="200"/>
        <w:rPr>
          <w:rFonts w:ascii="仿宋_GB2312" w:eastAsia="仿宋_GB2312"/>
          <w:b/>
          <w:sz w:val="32"/>
          <w:szCs w:val="32"/>
        </w:rPr>
      </w:pPr>
      <w:r>
        <w:rPr>
          <w:rFonts w:hint="eastAsia" w:ascii="仿宋_GB2312" w:eastAsia="仿宋_GB2312"/>
          <w:kern w:val="0"/>
          <w:sz w:val="28"/>
          <w:szCs w:val="28"/>
        </w:rPr>
        <w:t>机构设置情况：校长室、办公室、财务室、教务处、总务处。</w:t>
      </w:r>
      <w:r>
        <w:rPr>
          <w:rFonts w:hint="eastAsia" w:ascii="仿宋_GB2312" w:eastAsia="仿宋_GB2312"/>
          <w:b/>
          <w:sz w:val="32"/>
          <w:szCs w:val="32"/>
        </w:rPr>
        <w:t xml:space="preserve">  </w:t>
      </w:r>
    </w:p>
    <w:p>
      <w:pPr>
        <w:tabs>
          <w:tab w:val="center" w:pos="6979"/>
        </w:tabs>
        <w:spacing w:line="580" w:lineRule="exact"/>
        <w:ind w:firstLine="640" w:firstLineChars="200"/>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2901.34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减少752.31万元，下降20.59%。</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2876.84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减少768.72万元，下降21.08%。</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2876.84</w:t>
      </w:r>
      <w:r>
        <w:rPr>
          <w:rFonts w:hint="eastAsia" w:ascii="仿宋_GB2312" w:eastAsia="仿宋_GB2312"/>
          <w:sz w:val="28"/>
          <w:szCs w:val="28"/>
        </w:rPr>
        <w:t>万元，占收入合计的100%。其中：一般公共预算财政拨款收入</w:t>
      </w:r>
      <w:r>
        <w:rPr>
          <w:rFonts w:ascii="仿宋_GB2312" w:eastAsia="仿宋_GB2312"/>
          <w:sz w:val="28"/>
          <w:szCs w:val="28"/>
        </w:rPr>
        <w:t>2876.84</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spacing w:line="560" w:lineRule="exact"/>
        <w:ind w:firstLine="640"/>
        <w:rPr>
          <w:rFonts w:ascii="仿宋_GB2312" w:eastAsia="仿宋_GB2312" w:cs="Droid Sans"/>
          <w:color w:val="000000"/>
          <w:sz w:val="32"/>
          <w:szCs w:val="32"/>
        </w:rPr>
      </w:pP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2901.34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减少752.31万元，下降20.59%，其中：基本支出</w:t>
      </w:r>
      <w:r>
        <w:rPr>
          <w:rFonts w:ascii="仿宋_GB2312" w:eastAsia="仿宋_GB2312"/>
          <w:sz w:val="28"/>
          <w:szCs w:val="28"/>
        </w:rPr>
        <w:t>442.74</w:t>
      </w:r>
      <w:r>
        <w:rPr>
          <w:rFonts w:hint="eastAsia" w:ascii="仿宋_GB2312" w:eastAsia="仿宋_GB2312"/>
          <w:sz w:val="28"/>
          <w:szCs w:val="28"/>
        </w:rPr>
        <w:t>万元，占支出合计的15.26%；项目支出</w:t>
      </w:r>
      <w:r>
        <w:rPr>
          <w:rFonts w:ascii="仿宋_GB2312" w:eastAsia="仿宋_GB2312"/>
          <w:sz w:val="28"/>
          <w:szCs w:val="28"/>
        </w:rPr>
        <w:t>2458.6</w:t>
      </w:r>
      <w:r>
        <w:rPr>
          <w:rFonts w:hint="eastAsia" w:ascii="仿宋_GB2312" w:eastAsia="仿宋_GB2312"/>
          <w:sz w:val="28"/>
          <w:szCs w:val="28"/>
        </w:rPr>
        <w:t>万元，占支出合计的84.74%;上缴上级支出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spacing w:line="560" w:lineRule="exact"/>
        <w:ind w:firstLine="640"/>
        <w:rPr>
          <w:rFonts w:ascii="仿宋_GB2312" w:eastAsia="仿宋_GB2312" w:cs="Droid Sans"/>
          <w:color w:val="000000"/>
          <w:sz w:val="32"/>
          <w:szCs w:val="32"/>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2901.34</w:t>
      </w:r>
      <w:r>
        <w:rPr>
          <w:rFonts w:hint="eastAsia" w:ascii="仿宋_GB2312" w:eastAsia="仿宋_GB2312"/>
          <w:sz w:val="28"/>
          <w:szCs w:val="28"/>
        </w:rPr>
        <w:t>万元，比上年减少752.31万元，下降20.59%。主要原因：学前生均经费项目拨款减少及学前租金补助资金减少。</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2901.34</w:t>
      </w:r>
      <w:r>
        <w:rPr>
          <w:rFonts w:hint="eastAsia" w:ascii="仿宋_GB2312" w:eastAsia="仿宋_GB2312"/>
          <w:sz w:val="28"/>
          <w:szCs w:val="28"/>
        </w:rPr>
        <w:t>万元，主要用于以下方面：</w:t>
      </w:r>
      <w:r>
        <w:rPr>
          <w:rFonts w:hint="eastAsia" w:ascii="仿宋_GB2312" w:eastAsia="仿宋_GB2312"/>
          <w:color w:val="000000"/>
          <w:sz w:val="28"/>
          <w:szCs w:val="28"/>
        </w:rPr>
        <w:t>教育支出2787.68万元，占本年财政拨款支出96.1%；社会保障和就业支出51.30万元，占本年财政拨款支出1.76%；卫生健康支出37.84万元，占本年财政拨款支出1.3%；住房保障支出24.50万元，占本年财政拨款支出0.84%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w:t>
      </w:r>
      <w:r>
        <w:rPr>
          <w:rFonts w:hint="eastAsia" w:ascii="仿宋_GB2312" w:eastAsia="仿宋_GB2312"/>
          <w:color w:val="000000"/>
          <w:sz w:val="28"/>
          <w:szCs w:val="28"/>
        </w:rPr>
        <w:t>教育支出</w:t>
      </w:r>
      <w:r>
        <w:rPr>
          <w:rFonts w:hint="eastAsia" w:ascii="仿宋_GB2312" w:eastAsia="仿宋_GB2312"/>
          <w:sz w:val="28"/>
          <w:szCs w:val="28"/>
        </w:rPr>
        <w:t>”2024年度年初预算2739.24万元，2024年度决算</w:t>
      </w:r>
      <w:r>
        <w:rPr>
          <w:rFonts w:hint="eastAsia" w:ascii="仿宋_GB2312" w:eastAsia="仿宋_GB2312"/>
          <w:color w:val="000000"/>
          <w:sz w:val="28"/>
          <w:szCs w:val="28"/>
        </w:rPr>
        <w:t>2787.68</w:t>
      </w:r>
      <w:r>
        <w:rPr>
          <w:rFonts w:hint="eastAsia" w:ascii="仿宋_GB2312" w:eastAsia="仿宋_GB2312"/>
          <w:sz w:val="28"/>
          <w:szCs w:val="28"/>
        </w:rPr>
        <w:t>万元，完成年初预算的100%。其中：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“普通教育”2024年度年初预算2417.48万元，2024年度决算2458.28万元，完成年初预算的100%。主要原因：学前生均经费有所追加。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“成人教育”2024年度年初预算321.76万元，2024年度决算329.40万元，完成年初预算的100%。主要原因：调入人员1名，人员经费有所追加。</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2.“社会保障和就业支出” 2024年度年初预算47.72万元，2024年度决算</w:t>
      </w:r>
      <w:r>
        <w:rPr>
          <w:rFonts w:hint="eastAsia" w:ascii="仿宋_GB2312" w:eastAsia="仿宋_GB2312"/>
          <w:color w:val="000000"/>
          <w:sz w:val="28"/>
          <w:szCs w:val="28"/>
        </w:rPr>
        <w:t>51.30</w:t>
      </w:r>
      <w:r>
        <w:rPr>
          <w:rFonts w:hint="eastAsia" w:ascii="仿宋_GB2312" w:eastAsia="仿宋_GB2312"/>
          <w:sz w:val="28"/>
          <w:szCs w:val="28"/>
        </w:rPr>
        <w:t xml:space="preserve">万元，完成年初预算的100%。其中： </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2024年度年初预算47.72万元，2024年度决算</w:t>
      </w:r>
      <w:r>
        <w:rPr>
          <w:rFonts w:hint="eastAsia" w:ascii="仿宋_GB2312" w:eastAsia="仿宋_GB2312"/>
          <w:color w:val="000000"/>
          <w:sz w:val="28"/>
          <w:szCs w:val="28"/>
        </w:rPr>
        <w:t>51.30</w:t>
      </w:r>
      <w:r>
        <w:rPr>
          <w:rFonts w:hint="eastAsia" w:ascii="仿宋_GB2312" w:eastAsia="仿宋_GB2312"/>
          <w:sz w:val="28"/>
          <w:szCs w:val="28"/>
        </w:rPr>
        <w:t>万元，完成年初预算的100%。主要原因：社保调整基数增加及人员增加。</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3.“卫生健康支出”2024年度年初预算35.69万元，2024年度决算</w:t>
      </w:r>
      <w:r>
        <w:rPr>
          <w:rFonts w:hint="eastAsia" w:ascii="仿宋_GB2312" w:eastAsia="仿宋_GB2312"/>
          <w:color w:val="000000"/>
          <w:sz w:val="28"/>
          <w:szCs w:val="28"/>
        </w:rPr>
        <w:t>37.84</w:t>
      </w:r>
      <w:r>
        <w:rPr>
          <w:rFonts w:hint="eastAsia" w:ascii="仿宋_GB2312" w:eastAsia="仿宋_GB2312"/>
          <w:sz w:val="28"/>
          <w:szCs w:val="28"/>
        </w:rPr>
        <w:t>万元，完成年初预算的100%。其中：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“行政事业单位医疗”2024年度年初预算35.69万元，2024年度决算</w:t>
      </w:r>
      <w:r>
        <w:rPr>
          <w:rFonts w:hint="eastAsia" w:ascii="仿宋_GB2312" w:eastAsia="仿宋_GB2312"/>
          <w:color w:val="000000"/>
          <w:sz w:val="28"/>
          <w:szCs w:val="28"/>
        </w:rPr>
        <w:t>37.84</w:t>
      </w:r>
      <w:r>
        <w:rPr>
          <w:rFonts w:hint="eastAsia" w:ascii="仿宋_GB2312" w:eastAsia="仿宋_GB2312"/>
          <w:sz w:val="28"/>
          <w:szCs w:val="28"/>
        </w:rPr>
        <w:t>万元，完成年初预算的100%。主要原因：社保调整基数增加及人员增加。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w:t>
      </w:r>
      <w:r>
        <w:rPr>
          <w:rFonts w:hint="eastAsia" w:ascii="仿宋_GB2312" w:eastAsia="仿宋_GB2312"/>
          <w:color w:val="000000"/>
          <w:sz w:val="28"/>
          <w:szCs w:val="28"/>
        </w:rPr>
        <w:t>住房保障支出</w:t>
      </w:r>
      <w:r>
        <w:rPr>
          <w:rFonts w:hint="eastAsia" w:ascii="仿宋_GB2312" w:eastAsia="仿宋_GB2312"/>
          <w:sz w:val="28"/>
          <w:szCs w:val="28"/>
        </w:rPr>
        <w:t>”2024年度年初预算0万元，2024年度决算24.5万元。其中：</w:t>
      </w:r>
    </w:p>
    <w:p>
      <w:pPr>
        <w:pStyle w:val="2"/>
        <w:ind w:firstLine="840" w:firstLineChars="300"/>
        <w:rPr>
          <w:rFonts w:ascii="仿宋_GB2312" w:hAnsi="Times New Roman" w:eastAsia="仿宋_GB2312"/>
          <w:b w:val="0"/>
          <w:bCs w:val="0"/>
          <w:kern w:val="2"/>
          <w:sz w:val="28"/>
          <w:szCs w:val="28"/>
        </w:rPr>
      </w:pPr>
      <w:r>
        <w:rPr>
          <w:rFonts w:hint="eastAsia" w:ascii="仿宋_GB2312" w:hAnsi="Times New Roman" w:eastAsia="仿宋_GB2312"/>
          <w:b w:val="0"/>
          <w:bCs w:val="0"/>
          <w:kern w:val="2"/>
          <w:sz w:val="28"/>
          <w:szCs w:val="28"/>
        </w:rPr>
        <w:t>“住房改革支出”2024年度年初预算0万元，2024年度决算24.50万元。主要原因：追加住房补贴款。</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本单位2024年度无国有资本经营预算财政拨款安排的支出。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442.74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bookmarkStart w:id="0" w:name="_GoBack"/>
      <w:bookmarkEnd w:id="0"/>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1.76</w:t>
      </w:r>
      <w:r>
        <w:rPr>
          <w:rFonts w:hint="eastAsia" w:ascii="仿宋_GB2312" w:eastAsia="仿宋_GB2312"/>
          <w:sz w:val="28"/>
          <w:szCs w:val="28"/>
        </w:rPr>
        <w:t>万元，比2024年度“三公”经费财政拨款年初预算</w:t>
      </w:r>
      <w:r>
        <w:rPr>
          <w:rFonts w:ascii="仿宋_GB2312" w:eastAsia="仿宋_GB2312"/>
          <w:sz w:val="28"/>
          <w:szCs w:val="28"/>
        </w:rPr>
        <w:t>2.8</w:t>
      </w:r>
      <w:r>
        <w:rPr>
          <w:rFonts w:hint="eastAsia" w:ascii="仿宋_GB2312" w:eastAsia="仿宋_GB2312"/>
          <w:sz w:val="28"/>
          <w:szCs w:val="28"/>
        </w:rPr>
        <w:t>万元减少1.04万元。其中：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加（减少）0万元。主要原因：公出国（境）费用根据年度出国审批情况作为追加项目管理，单位不做年初预算，本年也没有出国审批项目发生；2024年度因公出国（境）费用主要用于</w:t>
      </w:r>
      <w:r>
        <w:rPr>
          <w:rFonts w:hint="eastAsia" w:ascii="仿宋_GB2312" w:eastAsia="仿宋_GB2312"/>
          <w:color w:val="000000"/>
          <w:sz w:val="28"/>
          <w:szCs w:val="28"/>
        </w:rPr>
        <w:t>出国的会议、培训等事项</w:t>
      </w:r>
      <w:r>
        <w:rPr>
          <w:rFonts w:hint="eastAsia" w:ascii="仿宋_GB2312" w:eastAsia="仿宋_GB2312"/>
          <w:sz w:val="28"/>
          <w:szCs w:val="28"/>
        </w:rPr>
        <w:t>，2024年度组织因公出国（境）团组0个、0人次，人均因公出国（境）费用0万元。</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2.公务接待费。2024年度决算数0万元，比2024年度年初预算数0.1万元减少0.1万元。主要原因：</w:t>
      </w:r>
      <w:r>
        <w:rPr>
          <w:rFonts w:hint="eastAsia" w:ascii="仿宋_GB2312" w:eastAsia="仿宋_GB2312"/>
          <w:color w:val="000000"/>
          <w:sz w:val="28"/>
          <w:szCs w:val="28"/>
          <w:lang w:bidi="ar"/>
        </w:rPr>
        <w:t>本年度无公务接待支出</w:t>
      </w:r>
      <w:r>
        <w:rPr>
          <w:rFonts w:hint="eastAsia" w:ascii="仿宋_GB2312" w:eastAsia="仿宋_GB2312"/>
          <w:sz w:val="28"/>
          <w:szCs w:val="28"/>
        </w:rPr>
        <w:t>。2024年度公务接待费主要用于</w:t>
      </w:r>
      <w:r>
        <w:rPr>
          <w:rFonts w:hint="eastAsia" w:ascii="仿宋_GB2312" w:eastAsia="仿宋_GB2312"/>
          <w:sz w:val="28"/>
          <w:szCs w:val="28"/>
          <w:lang w:bidi="ar"/>
        </w:rPr>
        <w:t>公务接待事项</w:t>
      </w:r>
      <w:r>
        <w:rPr>
          <w:rFonts w:hint="eastAsia" w:ascii="仿宋_GB2312" w:eastAsia="仿宋_GB2312"/>
          <w:sz w:val="28"/>
          <w:szCs w:val="28"/>
        </w:rPr>
        <w:t>。公务接待0批次，公务接待0人次。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3.公务用车购置及运行维护费。2024年度决算数1.76万元，比2024年度年初预算数2.7万元减少0.94万元。其中，公务用车购置费2024年度决算数0万元，主要原因： 2024年度购置（更新）0辆。公务用车运行维护费2024年度决算数1.76万元，主要原因：</w:t>
      </w:r>
      <w:r>
        <w:rPr>
          <w:rFonts w:hint="eastAsia" w:ascii="仿宋_GB2312" w:eastAsia="仿宋_GB2312"/>
          <w:color w:val="000000"/>
          <w:sz w:val="28"/>
          <w:szCs w:val="28"/>
          <w:lang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 2024年度公务用车保有量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1.62</w:t>
      </w:r>
      <w:r>
        <w:rPr>
          <w:rFonts w:hint="eastAsia" w:ascii="仿宋_GB2312" w:eastAsia="仿宋_GB2312"/>
          <w:sz w:val="28"/>
          <w:szCs w:val="28"/>
        </w:rPr>
        <w:t>万元，其中：政府采购货物支出0万元，政府采购工程支出0万元，政府采购服务支出1.62万元。授予中小企业合同金额</w:t>
      </w:r>
      <w:r>
        <w:rPr>
          <w:rFonts w:ascii="仿宋_GB2312" w:eastAsia="仿宋_GB2312"/>
          <w:sz w:val="28"/>
          <w:szCs w:val="28"/>
        </w:rPr>
        <w:t>1.35</w:t>
      </w:r>
      <w:r>
        <w:rPr>
          <w:rFonts w:hint="eastAsia" w:ascii="仿宋_GB2312" w:eastAsia="仿宋_GB2312"/>
          <w:sz w:val="28"/>
          <w:szCs w:val="28"/>
        </w:rPr>
        <w:t>万元，占政府采购支出总额的83.44%，其中：授予小微企业合同金额</w:t>
      </w:r>
      <w:r>
        <w:rPr>
          <w:rFonts w:ascii="仿宋_GB2312" w:eastAsia="仿宋_GB2312"/>
          <w:sz w:val="28"/>
          <w:szCs w:val="28"/>
        </w:rPr>
        <w:t>1.35</w:t>
      </w:r>
      <w:r>
        <w:rPr>
          <w:rFonts w:hint="eastAsia" w:ascii="仿宋_GB2312" w:eastAsia="仿宋_GB2312"/>
          <w:sz w:val="28"/>
          <w:szCs w:val="28"/>
        </w:rPr>
        <w:t>万元，占政府采购支出总额的</w:t>
      </w:r>
      <w:r>
        <w:rPr>
          <w:rFonts w:ascii="仿宋_GB2312" w:eastAsia="仿宋_GB2312"/>
          <w:sz w:val="28"/>
          <w:szCs w:val="28"/>
        </w:rPr>
        <w:t>83.44</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截至12月31日，北京市大兴区西红门镇成人学校共有车辆2台；单位价值100万元（含）以上的设备0台（套）。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eastAsia="仿宋_GB2312"/>
          <w:sz w:val="28"/>
          <w:szCs w:val="28"/>
        </w:rPr>
      </w:pPr>
      <w:r>
        <w:rPr>
          <w:rFonts w:hint="eastAsia" w:ascii="仿宋_GB2312" w:eastAsia="仿宋_GB2312"/>
          <w:sz w:val="28"/>
          <w:szCs w:val="28"/>
        </w:rPr>
        <w:t xml:space="preserve"> 4.政府采购：指各级国家机关、事业单位和团体组织，使用财政性资金采购依法制定的集中目录以内的或者采购限额标准以上的货物、工程和服务的行为，是规范财政支出管理和强化预算约束的有效措施。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700" w:firstLineChars="250"/>
        <w:rPr>
          <w:rFonts w:ascii="仿宋_GB2312" w:eastAsia="仿宋_GB2312"/>
          <w:sz w:val="28"/>
          <w:szCs w:val="28"/>
        </w:rPr>
      </w:pPr>
      <w:r>
        <w:rPr>
          <w:rFonts w:hint="eastAsia" w:ascii="仿宋_GB2312" w:eastAsia="仿宋_GB2312"/>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6.教育支出（类）普通教育（款）学前教育（项）：反映各部门举办的学前教育支出。政府各部门对社会组织等举办的幼儿园的资助，如捐赠、补贴等，也在本科目中反映。</w:t>
      </w:r>
    </w:p>
    <w:p>
      <w:pPr>
        <w:pStyle w:val="2"/>
        <w:ind w:firstLine="560" w:firstLineChars="200"/>
        <w:rPr>
          <w:b w:val="0"/>
        </w:rPr>
      </w:pPr>
      <w:r>
        <w:rPr>
          <w:rFonts w:hint="eastAsia" w:ascii="仿宋_GB2312" w:eastAsia="仿宋_GB2312"/>
          <w:b w:val="0"/>
          <w:color w:val="000000"/>
          <w:sz w:val="28"/>
          <w:szCs w:val="28"/>
        </w:rPr>
        <w:t>7．教育支出（类）普通教育（款）成人教育（项）：反应各部门举办各类函授、夜大、自学考试等成人教育的支出。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8.社会保障和就业支出（类）行政事业单位养老支出（款）事业单位离退休（项）：反映事业单位开支的离退休经费</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9.社会保障和就业支出（类）行政事业单位养老支出（款）机关事业单位基本养老保险缴费支出（项）：反映机关事业单位实施养老保险制度由单位缴纳的基本养老保险支出。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10.社会保障和就业支出（类）行政事业单位养老支出（款）机关事业单位职业年金缴费支出（项）：反映机关事业单位实施养老保险制度由单位实际缴纳的职业年金支出。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11.卫生健康支出（类）公共卫生（款）突发公共卫生事件应急处理（项）：反映用于突发公共卫生事件应急处理的支出。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pPr>
        <w:rPr>
          <w:rFonts w:ascii="黑体" w:eastAsia="黑体"/>
          <w:sz w:val="32"/>
          <w:szCs w:val="32"/>
        </w:rPr>
      </w:pPr>
      <w:r>
        <w:rPr>
          <w:rFonts w:hint="eastAsia" w:ascii="仿宋_GB2312" w:eastAsia="仿宋_GB2312"/>
          <w:color w:val="000000"/>
          <w:sz w:val="28"/>
          <w:szCs w:val="28"/>
        </w:rPr>
        <w:t>13.卫生健康支出（类）行政事业单位医疗（款）公务员医疗补助（项）：反映财政部门安排的公务员医疗补助经费。</w:t>
      </w:r>
    </w:p>
    <w:p>
      <w:pPr>
        <w:tabs>
          <w:tab w:val="center" w:pos="6979"/>
        </w:tabs>
        <w:spacing w:line="380" w:lineRule="exact"/>
        <w:jc w:val="center"/>
        <w:rPr>
          <w:rFonts w:ascii="宋体" w:hAnsi="宋体" w:cs="宋体"/>
          <w:b/>
          <w:bCs/>
          <w:kern w:val="0"/>
          <w:sz w:val="28"/>
          <w:szCs w:val="28"/>
        </w:rPr>
      </w:pPr>
    </w:p>
    <w:p>
      <w:pPr>
        <w:pStyle w:val="2"/>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rPr>
          <w:rFonts w:ascii="黑体" w:eastAsia="黑体"/>
          <w:sz w:val="28"/>
          <w:szCs w:val="28"/>
        </w:rPr>
      </w:pPr>
      <w:r>
        <w:rPr>
          <w:rFonts w:hint="eastAsia" w:ascii="黑体" w:eastAsia="黑体"/>
          <w:sz w:val="28"/>
          <w:szCs w:val="28"/>
        </w:rPr>
        <w:t>项目支出绩效自评表（详见附件）</w:t>
      </w:r>
    </w:p>
    <w:p>
      <w:pPr>
        <w:spacing w:line="480" w:lineRule="exact"/>
        <w:ind w:firstLine="420"/>
        <w:rPr>
          <w:rFonts w:ascii="黑体" w:eastAsia="黑体"/>
          <w:sz w:val="28"/>
          <w:szCs w:val="28"/>
        </w:rPr>
      </w:pPr>
    </w:p>
    <w:p>
      <w:pPr>
        <w:spacing w:line="480" w:lineRule="exact"/>
        <w:rPr>
          <w:rFonts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11</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D40905"/>
    <w:multiLevelType w:val="multilevel"/>
    <w:tmpl w:val="51D40905"/>
    <w:lvl w:ilvl="0" w:tentative="0">
      <w:start w:val="1"/>
      <w:numFmt w:val="japaneseCounting"/>
      <w:lvlText w:val="%1、"/>
      <w:lvlJc w:val="left"/>
      <w:pPr>
        <w:ind w:left="1280" w:hanging="72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170F"/>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4AD8"/>
    <w:rsid w:val="00206EC3"/>
    <w:rsid w:val="0021047C"/>
    <w:rsid w:val="00211E4E"/>
    <w:rsid w:val="00213D1C"/>
    <w:rsid w:val="00214C3A"/>
    <w:rsid w:val="00217517"/>
    <w:rsid w:val="00222628"/>
    <w:rsid w:val="00223B13"/>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4F26"/>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46A66"/>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0E3C"/>
    <w:rsid w:val="00491D09"/>
    <w:rsid w:val="0049682C"/>
    <w:rsid w:val="004A168E"/>
    <w:rsid w:val="004A4EC7"/>
    <w:rsid w:val="004B0003"/>
    <w:rsid w:val="004C020A"/>
    <w:rsid w:val="004C03A3"/>
    <w:rsid w:val="004C44B8"/>
    <w:rsid w:val="004C7629"/>
    <w:rsid w:val="004D0D5D"/>
    <w:rsid w:val="004E27DD"/>
    <w:rsid w:val="004E3350"/>
    <w:rsid w:val="004E5292"/>
    <w:rsid w:val="004F0BF3"/>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26361"/>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087"/>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54E41"/>
    <w:rsid w:val="00962013"/>
    <w:rsid w:val="00963942"/>
    <w:rsid w:val="0096716C"/>
    <w:rsid w:val="009672B2"/>
    <w:rsid w:val="00967A54"/>
    <w:rsid w:val="00970985"/>
    <w:rsid w:val="00971C66"/>
    <w:rsid w:val="00971D37"/>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4723B"/>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5355"/>
    <w:rsid w:val="00AB713D"/>
    <w:rsid w:val="00AC114C"/>
    <w:rsid w:val="00AC1478"/>
    <w:rsid w:val="00AC6C2D"/>
    <w:rsid w:val="00AC6E17"/>
    <w:rsid w:val="00AD2FF3"/>
    <w:rsid w:val="00AD4AFC"/>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6775D"/>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154"/>
    <w:rsid w:val="00C92444"/>
    <w:rsid w:val="00C92FBB"/>
    <w:rsid w:val="00C93327"/>
    <w:rsid w:val="00C97B4D"/>
    <w:rsid w:val="00CA5602"/>
    <w:rsid w:val="00CA5CA9"/>
    <w:rsid w:val="00CA78E2"/>
    <w:rsid w:val="00CB1BBE"/>
    <w:rsid w:val="00CB65DB"/>
    <w:rsid w:val="00CB6BD9"/>
    <w:rsid w:val="00CC293A"/>
    <w:rsid w:val="00CD0C52"/>
    <w:rsid w:val="00CD6ADC"/>
    <w:rsid w:val="00CE19F6"/>
    <w:rsid w:val="00CE6B76"/>
    <w:rsid w:val="00CF366B"/>
    <w:rsid w:val="00CF5D9D"/>
    <w:rsid w:val="00CF606C"/>
    <w:rsid w:val="00CF7423"/>
    <w:rsid w:val="00D001F5"/>
    <w:rsid w:val="00D03E80"/>
    <w:rsid w:val="00D1505F"/>
    <w:rsid w:val="00D15B9F"/>
    <w:rsid w:val="00D15DD6"/>
    <w:rsid w:val="00D25548"/>
    <w:rsid w:val="00D25AB6"/>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14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2C3D"/>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075F"/>
    <w:rsid w:val="00E915EC"/>
    <w:rsid w:val="00EA11B1"/>
    <w:rsid w:val="00EA2224"/>
    <w:rsid w:val="00EA5B0C"/>
    <w:rsid w:val="00EA7194"/>
    <w:rsid w:val="00EB1329"/>
    <w:rsid w:val="00EB2987"/>
    <w:rsid w:val="00EB2D75"/>
    <w:rsid w:val="00EB34BE"/>
    <w:rsid w:val="00EB571A"/>
    <w:rsid w:val="00EC2804"/>
    <w:rsid w:val="00EC6117"/>
    <w:rsid w:val="00EC6138"/>
    <w:rsid w:val="00EC6ABA"/>
    <w:rsid w:val="00ED1485"/>
    <w:rsid w:val="00ED1DCF"/>
    <w:rsid w:val="00ED43C9"/>
    <w:rsid w:val="00EE2C60"/>
    <w:rsid w:val="00EE2E58"/>
    <w:rsid w:val="00EE487A"/>
    <w:rsid w:val="00EE734C"/>
    <w:rsid w:val="00EF2EA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6DC5"/>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11111"/>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qFormat/>
    <w:uiPriority w:val="9"/>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link w:val="21"/>
    <w:qFormat/>
    <w:uiPriority w:val="0"/>
    <w:pPr>
      <w:ind w:firstLine="645"/>
    </w:pPr>
    <w:rPr>
      <w:rFonts w:ascii="仿宋_GB2312" w:hAnsi="Calibri" w:eastAsia="仿宋_GB2312"/>
      <w:sz w:val="32"/>
      <w:szCs w:val="32"/>
    </w:rPr>
  </w:style>
  <w:style w:type="paragraph" w:styleId="5">
    <w:name w:val="Date"/>
    <w:basedOn w:val="1"/>
    <w:next w:val="1"/>
    <w:link w:val="22"/>
    <w:qFormat/>
    <w:uiPriority w:val="0"/>
    <w:pPr>
      <w:ind w:left="100" w:leftChars="2500"/>
    </w:pPr>
  </w:style>
  <w:style w:type="paragraph" w:styleId="6">
    <w:name w:val="Balloon Text"/>
    <w:basedOn w:val="1"/>
    <w:link w:val="23"/>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标题 2 Char"/>
    <w:basedOn w:val="11"/>
    <w:link w:val="2"/>
    <w:uiPriority w:val="9"/>
    <w:rPr>
      <w:rFonts w:ascii="Cambria" w:hAnsi="Cambria" w:eastAsia="黑体"/>
      <w:b/>
      <w:bCs/>
      <w:sz w:val="36"/>
      <w:szCs w:val="32"/>
    </w:rPr>
  </w:style>
  <w:style w:type="character" w:customStyle="1" w:styleId="21">
    <w:name w:val="正文文本缩进 Char"/>
    <w:basedOn w:val="11"/>
    <w:link w:val="4"/>
    <w:uiPriority w:val="0"/>
    <w:rPr>
      <w:rFonts w:ascii="仿宋_GB2312" w:hAnsi="Calibri" w:eastAsia="仿宋_GB2312"/>
      <w:kern w:val="2"/>
      <w:sz w:val="32"/>
      <w:szCs w:val="32"/>
    </w:rPr>
  </w:style>
  <w:style w:type="character" w:customStyle="1" w:styleId="22">
    <w:name w:val="日期 Char"/>
    <w:basedOn w:val="11"/>
    <w:link w:val="5"/>
    <w:uiPriority w:val="0"/>
    <w:rPr>
      <w:kern w:val="2"/>
      <w:sz w:val="21"/>
      <w:szCs w:val="24"/>
    </w:rPr>
  </w:style>
  <w:style w:type="character" w:customStyle="1" w:styleId="23">
    <w:name w:val="批注框文本 Char"/>
    <w:basedOn w:val="11"/>
    <w:link w:val="6"/>
    <w:semiHidden/>
    <w:uiPriority w:val="0"/>
    <w:rPr>
      <w:kern w:val="2"/>
      <w:sz w:val="18"/>
      <w:szCs w:val="18"/>
    </w:rPr>
  </w:style>
  <w:style w:type="character" w:customStyle="1" w:styleId="24">
    <w:name w:val="font21"/>
    <w:basedOn w:val="11"/>
    <w:qFormat/>
    <w:uiPriority w:val="0"/>
    <w:rPr>
      <w:rFonts w:hint="eastAsia" w:ascii="宋体" w:hAnsi="宋体" w:eastAsia="宋体" w:cs="宋体"/>
      <w:color w:val="000000"/>
      <w:sz w:val="18"/>
      <w:szCs w:val="18"/>
      <w:u w:val="none"/>
    </w:rPr>
  </w:style>
  <w:style w:type="character" w:customStyle="1" w:styleId="25">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2876.84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442.74</c:v>
                </c:pt>
                <c:pt idx="1">
                  <c:v>2458.6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612</Words>
  <Characters>3492</Characters>
  <Lines>29</Lines>
  <Paragraphs>8</Paragraphs>
  <TotalTime>0</TotalTime>
  <ScaleCrop>false</ScaleCrop>
  <LinksUpToDate>false</LinksUpToDate>
  <CharactersWithSpaces>4096</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p:lastModifiedBy>
  <cp:lastPrinted>2020-08-09T03:39:00Z</cp:lastPrinted>
  <dcterms:modified xsi:type="dcterms:W3CDTF">2025-09-28T08:43:59Z</dcterms:modified>
  <dc:title>北京市财政局关于做好向市人大常委会报送2015年度市级部门决算（草案）</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5108FBEDEE664B089E5702B2F87BCB02</vt:lpwstr>
  </property>
  <property fmtid="{D5CDD505-2E9C-101B-9397-08002B2CF9AE}" pid="4" name="KSOTemplateDocerSaveRecord">
    <vt:lpwstr>eyJoZGlkIjoiMjQwNjQzNTg4ZDE0ZTBiOGFjNjE4NDNkMzM5NWRjMzIiLCJ1c2VySWQiOiI4OTI4ODkxNzIifQ==</vt:lpwstr>
  </property>
</Properties>
</file>