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Lines="50"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48" w:firstLineChars="196"/>
        <w:textAlignment w:val="center"/>
        <w:rPr>
          <w:rFonts w:ascii="仿宋_GB2312" w:hAnsi="宋体" w:eastAsia="仿宋_GB2312"/>
          <w:bCs/>
          <w:sz w:val="28"/>
          <w:szCs w:val="28"/>
        </w:rPr>
      </w:pPr>
      <w:r>
        <w:rPr>
          <w:rFonts w:hint="eastAsia" w:ascii="仿宋_GB2312" w:hAnsi="宋体" w:eastAsia="仿宋_GB2312"/>
          <w:bCs/>
          <w:sz w:val="28"/>
          <w:szCs w:val="28"/>
        </w:rPr>
        <w:t>主要职责：为社区教育、老年教育培训工作，按照北京市大兴区教育委员会的方针政策组织开展社区教育培训活动。</w:t>
      </w:r>
    </w:p>
    <w:p>
      <w:pPr>
        <w:tabs>
          <w:tab w:val="center" w:pos="6979"/>
        </w:tabs>
        <w:spacing w:line="580" w:lineRule="exact"/>
        <w:ind w:firstLine="548" w:firstLineChars="196"/>
        <w:textAlignment w:val="center"/>
        <w:rPr>
          <w:rFonts w:ascii="仿宋_GB2312" w:hAnsi="宋体" w:eastAsia="仿宋_GB2312"/>
          <w:bCs/>
          <w:sz w:val="28"/>
          <w:szCs w:val="28"/>
        </w:rPr>
      </w:pPr>
      <w:r>
        <w:rPr>
          <w:rFonts w:hint="eastAsia" w:ascii="仿宋_GB2312" w:hAnsi="宋体" w:eastAsia="仿宋_GB2312"/>
          <w:bCs/>
          <w:sz w:val="28"/>
          <w:szCs w:val="28"/>
        </w:rPr>
        <w:t>内设机构：校长办公室，后勤主任室，财务室，责任督学室等。</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1265.19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96.98万元，增长0.08%。</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1247.69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85.25万元，增长0.07%。</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1247.69</w:t>
      </w:r>
      <w:r>
        <w:rPr>
          <w:rFonts w:hint="eastAsia" w:ascii="仿宋_GB2312" w:eastAsia="仿宋_GB2312"/>
          <w:sz w:val="28"/>
          <w:szCs w:val="28"/>
        </w:rPr>
        <w:t>万元，占收入合计的100%。其中：一般公共预算财政拨款收入1247.68万元，占收入合计的100%；政府性基金预算财政拨款收入0万元，占收入合计的0%；国有资本经营预算财政拨款收入0万元，占收入合计的0%；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pPr>
        <w:pStyle w:val="2"/>
        <w:jc w:val="center"/>
      </w:pPr>
      <w:r>
        <w:rPr>
          <w:rFonts w:hint="eastAsia" w:ascii="仿宋_GB2312" w:eastAsia="仿宋_GB2312"/>
          <w:color w:val="000000"/>
          <w:sz w:val="32"/>
        </w:rPr>
        <w:t>图1：收入决算</w:t>
      </w:r>
    </w:p>
    <w:p>
      <w:pPr>
        <w:pStyle w:val="3"/>
        <w:ind w:firstLine="420"/>
        <w:jc w:val="center"/>
      </w:pPr>
      <w:r>
        <w:drawing>
          <wp:inline distT="0" distB="0" distL="0" distR="0">
            <wp:extent cx="4036695" cy="2328545"/>
            <wp:effectExtent l="0" t="0" r="20955" b="1460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1265.19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96.98万元，增长0.08%，其中：基本支出</w:t>
      </w:r>
      <w:r>
        <w:rPr>
          <w:rFonts w:ascii="仿宋_GB2312" w:eastAsia="仿宋_GB2312"/>
          <w:sz w:val="28"/>
          <w:szCs w:val="28"/>
        </w:rPr>
        <w:t>272.03</w:t>
      </w:r>
      <w:r>
        <w:rPr>
          <w:rFonts w:hint="eastAsia" w:ascii="仿宋_GB2312" w:eastAsia="仿宋_GB2312"/>
          <w:sz w:val="28"/>
          <w:szCs w:val="28"/>
        </w:rPr>
        <w:t>万元，占支出合计的21.5%；项目支出</w:t>
      </w:r>
      <w:r>
        <w:rPr>
          <w:rFonts w:ascii="仿宋_GB2312" w:eastAsia="仿宋_GB2312"/>
          <w:sz w:val="28"/>
          <w:szCs w:val="28"/>
        </w:rPr>
        <w:t>993.16</w:t>
      </w:r>
      <w:r>
        <w:rPr>
          <w:rFonts w:hint="eastAsia" w:ascii="仿宋_GB2312" w:eastAsia="仿宋_GB2312"/>
          <w:sz w:val="28"/>
          <w:szCs w:val="28"/>
        </w:rPr>
        <w:t>万元，占支出合计的78.5%;上缴上级支出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textAlignment w:val="center"/>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1265.19</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96.98万元，增长0.08%。主要原因：</w:t>
      </w:r>
      <w:r>
        <w:rPr>
          <w:rFonts w:hint="eastAsia" w:ascii="仿宋_GB2312" w:hAnsi="宋体" w:eastAsia="仿宋_GB2312"/>
          <w:bCs/>
          <w:sz w:val="28"/>
          <w:szCs w:val="28"/>
        </w:rPr>
        <w:t>因为总支出包括这个镇区域内四所村办园的生均定额补助，本年度幼儿招生人员增加，导致教职工人员增加，所以总支出增加。</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rPr>
          <w:rFonts w:ascii="宋体" w:hAnsi="宋体" w:cs="宋体"/>
          <w:color w:val="000000"/>
          <w:kern w:val="0"/>
          <w:sz w:val="22"/>
          <w:szCs w:val="22"/>
        </w:rPr>
      </w:pPr>
      <w:r>
        <w:rPr>
          <w:rFonts w:hint="eastAsia" w:ascii="仿宋_GB2312" w:eastAsia="仿宋_GB2312"/>
          <w:sz w:val="28"/>
          <w:szCs w:val="28"/>
        </w:rPr>
        <w:t>2024年度一般公共预算财政拨款支出</w:t>
      </w:r>
      <w:r>
        <w:rPr>
          <w:rFonts w:ascii="仿宋_GB2312" w:eastAsia="仿宋_GB2312"/>
          <w:sz w:val="28"/>
          <w:szCs w:val="28"/>
        </w:rPr>
        <w:t>1265.1</w:t>
      </w:r>
      <w:r>
        <w:rPr>
          <w:rFonts w:hint="eastAsia" w:ascii="仿宋_GB2312" w:eastAsia="仿宋_GB2312"/>
          <w:sz w:val="28"/>
          <w:szCs w:val="28"/>
        </w:rPr>
        <w:t>8万元，主要用于以下方面：教育支出1200.76万元，占本年财政拨款支出95%，</w:t>
      </w:r>
      <w:r>
        <w:rPr>
          <w:rFonts w:hint="eastAsia" w:ascii="宋体" w:hAnsi="宋体" w:cs="宋体"/>
          <w:color w:val="000000"/>
          <w:kern w:val="0"/>
          <w:sz w:val="24"/>
        </w:rPr>
        <w:t>社会保障和就业支出26.85万元，</w:t>
      </w:r>
      <w:r>
        <w:rPr>
          <w:rFonts w:hint="eastAsia" w:ascii="仿宋_GB2312" w:eastAsia="仿宋_GB2312"/>
          <w:sz w:val="28"/>
          <w:szCs w:val="28"/>
        </w:rPr>
        <w:t>占本年财政拨款支出2.12%，</w:t>
      </w:r>
      <w:r>
        <w:rPr>
          <w:rFonts w:hint="eastAsia" w:ascii="宋体" w:hAnsi="宋体" w:cs="宋体"/>
          <w:color w:val="000000"/>
          <w:kern w:val="0"/>
          <w:sz w:val="22"/>
          <w:szCs w:val="22"/>
        </w:rPr>
        <w:t>卫生健康支出支出20.07万元，</w:t>
      </w:r>
      <w:r>
        <w:rPr>
          <w:rFonts w:hint="eastAsia" w:ascii="仿宋_GB2312" w:eastAsia="仿宋_GB2312"/>
          <w:sz w:val="28"/>
          <w:szCs w:val="28"/>
        </w:rPr>
        <w:t>占本年财政拨款支出1.58%，</w:t>
      </w:r>
      <w:r>
        <w:rPr>
          <w:rFonts w:hint="eastAsia" w:ascii="宋体" w:hAnsi="宋体" w:cs="宋体"/>
          <w:color w:val="000000"/>
          <w:kern w:val="0"/>
          <w:sz w:val="22"/>
          <w:szCs w:val="22"/>
        </w:rPr>
        <w:t>住房保障支出支出17.50万元，</w:t>
      </w:r>
      <w:r>
        <w:rPr>
          <w:rFonts w:hint="eastAsia" w:ascii="仿宋_GB2312" w:eastAsia="仿宋_GB2312"/>
          <w:sz w:val="28"/>
          <w:szCs w:val="28"/>
        </w:rPr>
        <w:t>占本年财政拨款支出1.3%。</w:t>
      </w:r>
    </w:p>
    <w:p>
      <w:pPr>
        <w:autoSpaceDE w:val="0"/>
        <w:autoSpaceDN w:val="0"/>
        <w:adjustRightInd w:val="0"/>
        <w:spacing w:line="580" w:lineRule="exact"/>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1、“教育支出”2024年度年初预算1066.37万元，2024年度决算1200.76万元，完成年初预算的112.60%。其中：</w:t>
      </w:r>
    </w:p>
    <w:p>
      <w:pPr>
        <w:spacing w:line="580" w:lineRule="exact"/>
        <w:ind w:left="420" w:leftChars="200"/>
        <w:textAlignment w:val="center"/>
        <w:rPr>
          <w:rFonts w:ascii="仿宋_GB2312" w:hAnsi="宋体" w:eastAsia="仿宋_GB2312"/>
          <w:bCs/>
          <w:sz w:val="28"/>
          <w:szCs w:val="28"/>
        </w:rPr>
      </w:pPr>
      <w:r>
        <w:rPr>
          <w:rFonts w:hint="eastAsia" w:ascii="宋体" w:hAnsi="宋体" w:cs="宋体"/>
          <w:color w:val="000000"/>
          <w:kern w:val="0"/>
          <w:sz w:val="22"/>
          <w:szCs w:val="22"/>
        </w:rPr>
        <w:t>“普通教育支出“</w:t>
      </w:r>
      <w:r>
        <w:rPr>
          <w:rFonts w:hint="eastAsia" w:ascii="仿宋_GB2312" w:eastAsia="仿宋_GB2312"/>
          <w:sz w:val="28"/>
          <w:szCs w:val="28"/>
        </w:rPr>
        <w:t>2024年度年初预算855万元，2024年度决算990.27万元，完成年初预算的115.82%。主要原因：我镇有4所村办园今年招生开班人员数比去年增加。所以教育支出增加。</w:t>
      </w:r>
    </w:p>
    <w:p>
      <w:pPr>
        <w:spacing w:line="580" w:lineRule="exact"/>
        <w:ind w:left="420" w:leftChars="200"/>
        <w:textAlignment w:val="center"/>
        <w:rPr>
          <w:rFonts w:ascii="仿宋_GB2312" w:hAnsi="宋体" w:eastAsia="仿宋_GB2312"/>
          <w:bCs/>
          <w:sz w:val="28"/>
          <w:szCs w:val="28"/>
        </w:rPr>
      </w:pPr>
      <w:r>
        <w:rPr>
          <w:rFonts w:hint="eastAsia" w:ascii="仿宋_GB2312" w:eastAsia="仿宋_GB2312"/>
          <w:sz w:val="28"/>
          <w:szCs w:val="28"/>
        </w:rPr>
        <w:t>“成人教育支出”2024年度年初预算211.37万元，2024年度决算210.48元，完成年初预算的107.85%。主要原因：</w:t>
      </w:r>
      <w:r>
        <w:rPr>
          <w:rFonts w:hint="eastAsia" w:ascii="仿宋_GB2312" w:hAnsi="宋体" w:eastAsia="仿宋_GB2312"/>
          <w:bCs/>
          <w:sz w:val="28"/>
          <w:szCs w:val="28"/>
        </w:rPr>
        <w:t>因在职教职工的工资、保险、年金、公积金基数上调，所以教育支出增加。</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2.“社会保障和就业支出” 2024年度年初预算25.83万元，2024年度决算26.86万元，完成年初预算的103.95%。</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其中：“行政事业单位养老支出” 2024年度年初预算25.83万元，2024年度决算26.86万元，完成年初预算的103.95%。</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主要原因：主要是由于2023年7月份起，社会保险基数提高。</w:t>
      </w:r>
    </w:p>
    <w:p>
      <w:pPr>
        <w:spacing w:line="580" w:lineRule="exact"/>
        <w:ind w:firstLine="560" w:firstLineChars="200"/>
        <w:rPr>
          <w:rFonts w:ascii="仿宋_GB2312" w:eastAsia="仿宋_GB2312"/>
          <w:sz w:val="28"/>
          <w:szCs w:val="28"/>
        </w:rPr>
      </w:pPr>
      <w:r>
        <w:rPr>
          <w:rFonts w:hint="eastAsia" w:ascii="仿宋_GB2312" w:hAnsi="宋体" w:eastAsia="仿宋_GB2312"/>
          <w:bCs/>
          <w:sz w:val="28"/>
          <w:szCs w:val="28"/>
        </w:rPr>
        <w:t>3.</w:t>
      </w:r>
      <w:r>
        <w:rPr>
          <w:rFonts w:hint="eastAsia" w:ascii="仿宋_GB2312" w:eastAsia="仿宋_GB2312"/>
          <w:sz w:val="28"/>
          <w:szCs w:val="28"/>
        </w:rPr>
        <w:t xml:space="preserve"> “卫生健康支出” 2024年度年初预算19.35万元，2024年度决算20.07万元，完成年初预算的103.95%。</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 2024年度年初预算19.35万元，2024年度决算20.07万元，完成年初预算的103.95%。</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主要原因：主要是由于2023年7月份起，社会保险基数提高。</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4.</w:t>
      </w:r>
      <w:r>
        <w:rPr>
          <w:rFonts w:hint="eastAsia"/>
          <w:color w:val="000000"/>
          <w:sz w:val="22"/>
          <w:szCs w:val="22"/>
        </w:rPr>
        <w:t xml:space="preserve"> </w:t>
      </w:r>
      <w:r>
        <w:rPr>
          <w:rFonts w:hint="eastAsia" w:ascii="仿宋_GB2312" w:eastAsia="仿宋_GB2312"/>
          <w:sz w:val="28"/>
          <w:szCs w:val="28"/>
        </w:rPr>
        <w:t>“</w:t>
      </w:r>
      <w:r>
        <w:rPr>
          <w:rFonts w:hint="eastAsia" w:ascii="宋体" w:hAnsi="宋体" w:cs="宋体"/>
          <w:color w:val="000000"/>
          <w:kern w:val="0"/>
          <w:sz w:val="22"/>
          <w:szCs w:val="22"/>
        </w:rPr>
        <w:t>住房保障支出</w:t>
      </w:r>
      <w:r>
        <w:rPr>
          <w:rFonts w:hint="eastAsia" w:ascii="仿宋_GB2312" w:eastAsia="仿宋_GB2312"/>
          <w:sz w:val="28"/>
          <w:szCs w:val="28"/>
        </w:rPr>
        <w:t>” 2024年度年初预算0万元，2024年度决算17.50万元，完成年初预算的100%。</w:t>
      </w:r>
    </w:p>
    <w:p>
      <w:pPr>
        <w:ind w:firstLine="560" w:firstLineChars="200"/>
        <w:rPr>
          <w:rFonts w:ascii="宋体" w:hAnsi="宋体" w:cs="宋体"/>
          <w:color w:val="000000"/>
          <w:kern w:val="0"/>
          <w:sz w:val="22"/>
          <w:szCs w:val="22"/>
        </w:rPr>
      </w:pPr>
      <w:r>
        <w:rPr>
          <w:rFonts w:ascii="仿宋_GB2312" w:eastAsia="仿宋_GB2312"/>
          <w:sz w:val="28"/>
          <w:szCs w:val="28"/>
        </w:rPr>
        <w:t>“</w:t>
      </w:r>
      <w:r>
        <w:rPr>
          <w:rFonts w:hint="eastAsia" w:ascii="宋体" w:hAnsi="宋体" w:cs="宋体"/>
          <w:color w:val="000000"/>
          <w:kern w:val="0"/>
          <w:sz w:val="22"/>
          <w:szCs w:val="22"/>
        </w:rPr>
        <w:t>住房改革支出</w:t>
      </w:r>
      <w:r>
        <w:rPr>
          <w:rFonts w:hint="eastAsia" w:ascii="仿宋_GB2312" w:eastAsia="仿宋_GB2312"/>
          <w:sz w:val="28"/>
          <w:szCs w:val="28"/>
        </w:rPr>
        <w:t>” 2024年度年初预算0万元，2024年度决算17.50万元，完成年初预算的100%。主要原因:追加住房补贴。</w:t>
      </w:r>
    </w:p>
    <w:p>
      <w:pPr>
        <w:widowControl/>
        <w:rPr>
          <w:rFonts w:ascii="宋体" w:hAnsi="宋体" w:cs="宋体"/>
          <w:color w:val="000000"/>
          <w:kern w:val="0"/>
          <w:sz w:val="22"/>
          <w:szCs w:val="22"/>
        </w:rPr>
      </w:pPr>
    </w:p>
    <w:p>
      <w:pPr>
        <w:spacing w:line="580" w:lineRule="exact"/>
        <w:ind w:firstLine="560" w:firstLineChars="200"/>
        <w:rPr>
          <w:rFonts w:ascii="仿宋_GB2312" w:eastAsia="仿宋_GB2312"/>
          <w:sz w:val="28"/>
          <w:szCs w:val="28"/>
        </w:rPr>
      </w:pPr>
    </w:p>
    <w:p>
      <w:pPr>
        <w:spacing w:line="580" w:lineRule="exact"/>
        <w:rPr>
          <w:rFonts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pPr>
        <w:spacing w:line="560" w:lineRule="exact"/>
        <w:ind w:firstLine="560" w:firstLineChars="200"/>
        <w:textAlignment w:val="center"/>
        <w:rPr>
          <w:rFonts w:ascii="仿宋_GB2312" w:hAnsi="宋体" w:eastAsia="仿宋_GB2312"/>
          <w:bCs/>
          <w:sz w:val="28"/>
          <w:szCs w:val="28"/>
        </w:rPr>
      </w:pPr>
      <w:r>
        <w:rPr>
          <w:rFonts w:hint="eastAsia" w:ascii="仿宋_GB2312" w:hAnsi="宋体" w:eastAsia="仿宋_GB2312"/>
          <w:bCs/>
          <w:sz w:val="28"/>
          <w:szCs w:val="28"/>
        </w:rPr>
        <w:t>本</w:t>
      </w:r>
      <w:r>
        <w:rPr>
          <w:rFonts w:hint="eastAsia" w:ascii="仿宋_GB2312" w:hAnsi="宋体" w:eastAsia="仿宋_GB2312"/>
          <w:sz w:val="28"/>
          <w:szCs w:val="28"/>
        </w:rPr>
        <w:t>单位2024年度无政府性基金预算财政拨款安排的支出</w:t>
      </w:r>
      <w:r>
        <w:rPr>
          <w:rFonts w:hint="eastAsia" w:ascii="仿宋_GB2312" w:hAnsi="宋体" w:eastAsia="仿宋_GB2312"/>
          <w:bCs/>
          <w:sz w:val="28"/>
          <w:szCs w:val="28"/>
        </w:rPr>
        <w:t>。</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tabs>
          <w:tab w:val="center" w:pos="6979"/>
        </w:tabs>
        <w:spacing w:line="580" w:lineRule="exact"/>
        <w:ind w:firstLine="548" w:firstLineChars="196"/>
        <w:textAlignment w:val="center"/>
        <w:rPr>
          <w:rFonts w:ascii="仿宋_GB2312" w:hAnsi="宋体" w:eastAsia="仿宋_GB2312"/>
          <w:sz w:val="28"/>
          <w:szCs w:val="28"/>
        </w:rPr>
      </w:pPr>
      <w:r>
        <w:rPr>
          <w:rFonts w:hint="eastAsia" w:ascii="仿宋_GB2312" w:hAnsi="宋体" w:eastAsia="仿宋_GB2312"/>
          <w:sz w:val="28"/>
          <w:szCs w:val="28"/>
        </w:rPr>
        <w:t>本单位2024年度无国有资本经营预算财政拨</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autoSpaceDE w:val="0"/>
        <w:autoSpaceDN w:val="0"/>
        <w:adjustRightInd w:val="0"/>
        <w:spacing w:line="580" w:lineRule="exact"/>
        <w:ind w:firstLine="560" w:firstLineChars="200"/>
        <w:rPr>
          <w:rFonts w:ascii="仿宋_GB2312" w:eastAsia="仿宋_GB2312"/>
          <w:b/>
          <w:sz w:val="32"/>
          <w:szCs w:val="32"/>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272.03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b/>
          <w:sz w:val="32"/>
          <w:szCs w:val="32"/>
        </w:rPr>
        <w:tab/>
      </w:r>
    </w:p>
    <w:p>
      <w:pPr>
        <w:autoSpaceDE w:val="0"/>
        <w:autoSpaceDN w:val="0"/>
        <w:adjustRightInd w:val="0"/>
        <w:spacing w:line="580" w:lineRule="exact"/>
        <w:ind w:firstLine="800" w:firstLineChars="200"/>
        <w:rPr>
          <w:rFonts w:hint="eastAsia" w:ascii="宋体" w:hAnsi="宋体" w:cs="宋体"/>
          <w:b/>
          <w:bCs/>
          <w:spacing w:val="40"/>
          <w:kern w:val="0"/>
          <w:sz w:val="32"/>
          <w:szCs w:val="32"/>
        </w:rPr>
      </w:pPr>
    </w:p>
    <w:p>
      <w:pPr>
        <w:autoSpaceDE w:val="0"/>
        <w:autoSpaceDN w:val="0"/>
        <w:adjustRightInd w:val="0"/>
        <w:spacing w:line="580" w:lineRule="exact"/>
        <w:ind w:firstLine="800" w:firstLineChars="200"/>
        <w:rPr>
          <w:rFonts w:hint="eastAsia" w:ascii="宋体" w:hAnsi="宋体" w:cs="宋体"/>
          <w:b/>
          <w:bCs/>
          <w:spacing w:val="40"/>
          <w:kern w:val="0"/>
          <w:sz w:val="32"/>
          <w:szCs w:val="32"/>
        </w:rPr>
      </w:pPr>
    </w:p>
    <w:p>
      <w:pPr>
        <w:autoSpaceDE w:val="0"/>
        <w:autoSpaceDN w:val="0"/>
        <w:adjustRightInd w:val="0"/>
        <w:spacing w:line="580" w:lineRule="exact"/>
        <w:ind w:firstLine="800" w:firstLineChars="200"/>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autoSpaceDE w:val="0"/>
        <w:autoSpaceDN w:val="0"/>
        <w:adjustRightInd w:val="0"/>
        <w:spacing w:line="580" w:lineRule="exact"/>
        <w:ind w:firstLine="800" w:firstLineChars="200"/>
        <w:jc w:val="center"/>
        <w:rPr>
          <w:rFonts w:hint="eastAsia" w:ascii="宋体" w:hAnsi="宋体" w:cs="宋体"/>
          <w:b/>
          <w:spacing w:val="40"/>
          <w:kern w:val="0"/>
          <w:sz w:val="32"/>
          <w:szCs w:val="32"/>
        </w:rPr>
      </w:pP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560" w:firstLineChars="200"/>
        <w:rPr>
          <w:rFonts w:ascii="仿宋_GB2312" w:eastAsia="仿宋_GB2312"/>
          <w:color w:val="000000"/>
          <w:sz w:val="28"/>
          <w:szCs w:val="28"/>
        </w:rPr>
      </w:pPr>
      <w:r>
        <w:rPr>
          <w:rFonts w:hint="eastAsia" w:ascii="仿宋_GB2312" w:eastAsia="仿宋_GB2312"/>
          <w:sz w:val="28"/>
          <w:szCs w:val="28"/>
        </w:rPr>
        <w:t>1.因公出国（境）费用。2024年度决算数0万元，比2024年度年初预算数0万元增减无变化，保持一致。主要原因：</w:t>
      </w:r>
      <w:r>
        <w:rPr>
          <w:rFonts w:hint="eastAsia" w:ascii="仿宋_GB2312" w:eastAsia="仿宋_GB2312"/>
          <w:color w:val="000000"/>
          <w:sz w:val="28"/>
          <w:szCs w:val="28"/>
        </w:rPr>
        <w:t>是因公出国（境）费用根据年度出国审批情况作为追加项目管理，单位不做年初预算，</w:t>
      </w:r>
    </w:p>
    <w:p>
      <w:pPr>
        <w:spacing w:line="560" w:lineRule="exact"/>
        <w:ind w:firstLine="600"/>
        <w:rPr>
          <w:rFonts w:ascii="仿宋_GB2312" w:eastAsia="仿宋_GB2312"/>
          <w:sz w:val="28"/>
          <w:szCs w:val="28"/>
        </w:rPr>
      </w:pPr>
      <w:r>
        <w:rPr>
          <w:rFonts w:hint="eastAsia" w:ascii="仿宋_GB2312" w:eastAsia="仿宋_GB2312"/>
          <w:color w:val="000000"/>
          <w:sz w:val="28"/>
          <w:szCs w:val="28"/>
        </w:rPr>
        <w:t>本年也没有出国审批项目发生</w:t>
      </w:r>
      <w:r>
        <w:rPr>
          <w:rFonts w:hint="eastAsia" w:ascii="仿宋_GB2312" w:eastAsia="仿宋_GB2312"/>
          <w:sz w:val="28"/>
          <w:szCs w:val="28"/>
        </w:rPr>
        <w:t>；2024年度因公出国（境）费用主要用于</w:t>
      </w:r>
      <w:r>
        <w:rPr>
          <w:rFonts w:hint="eastAsia" w:ascii="仿宋_GB2312" w:eastAsia="仿宋_GB2312"/>
          <w:color w:val="000000"/>
          <w:sz w:val="28"/>
          <w:szCs w:val="28"/>
        </w:rPr>
        <w:t>出国（境）的会议、培训交流等事项</w:t>
      </w:r>
      <w:r>
        <w:rPr>
          <w:rFonts w:hint="eastAsia" w:ascii="仿宋_GB2312" w:eastAsia="仿宋_GB2312"/>
          <w:sz w:val="28"/>
          <w:szCs w:val="28"/>
        </w:rPr>
        <w:t>等，2024年度组织因公出国（境）团组0个、0人次。</w:t>
      </w:r>
    </w:p>
    <w:p>
      <w:pPr>
        <w:spacing w:line="560" w:lineRule="exact"/>
        <w:ind w:firstLine="600"/>
        <w:rPr>
          <w:rFonts w:ascii="仿宋_GB2312" w:eastAsia="仿宋_GB2312"/>
          <w:sz w:val="28"/>
          <w:szCs w:val="28"/>
        </w:rPr>
      </w:pPr>
      <w:r>
        <w:rPr>
          <w:rFonts w:hint="eastAsia" w:ascii="仿宋_GB2312" w:eastAsia="仿宋_GB2312"/>
          <w:sz w:val="28"/>
          <w:szCs w:val="28"/>
        </w:rPr>
        <w:t>2.公务接待费。2024年度决算数0万元，比2024年度年初预算数0.28万元减少0.28万元。主要原因：</w:t>
      </w:r>
      <w:r>
        <w:rPr>
          <w:rFonts w:hint="eastAsia" w:ascii="仿宋_GB2312" w:eastAsia="仿宋_GB2312"/>
          <w:color w:val="000000"/>
          <w:sz w:val="28"/>
          <w:szCs w:val="28"/>
        </w:rPr>
        <w:t>本年度无公务接待支出</w:t>
      </w:r>
      <w:r>
        <w:rPr>
          <w:rFonts w:hint="eastAsia" w:ascii="仿宋_GB2312" w:eastAsia="仿宋_GB2312"/>
          <w:sz w:val="28"/>
          <w:szCs w:val="28"/>
        </w:rPr>
        <w:t>。2024年度公务接待费主要用于公务接待事项。公务接待0批次，公务接待0人次。</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2024年度决算数0.43元，比2024年度年初预算数0.98万元减少2.55万元。其中，公务用车购置费2024年度决算数0万元，主要原因：本年度新购车辆0辆，2024年度购置（更新）0辆。公务用车运行维护费2024年度决算数0.43万元，主要原因：</w:t>
      </w:r>
      <w:r>
        <w:rPr>
          <w:rFonts w:hint="eastAsia" w:ascii="仿宋_GB2312" w:eastAsia="仿宋_GB2312"/>
          <w:color w:val="000000"/>
          <w:sz w:val="28"/>
          <w:szCs w:val="28"/>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。2024年度公务用车保有量1辆。</w:t>
      </w:r>
    </w:p>
    <w:p>
      <w:pPr>
        <w:spacing w:line="560" w:lineRule="exact"/>
        <w:rPr>
          <w:rFonts w:ascii="黑体" w:eastAsia="黑体"/>
          <w:sz w:val="28"/>
          <w:szCs w:val="28"/>
        </w:rPr>
      </w:pPr>
    </w:p>
    <w:p>
      <w:pPr>
        <w:tabs>
          <w:tab w:val="center" w:pos="6979"/>
        </w:tabs>
        <w:rPr>
          <w:rFonts w:ascii="黑体" w:eastAsia="黑体"/>
          <w:sz w:val="28"/>
          <w:szCs w:val="28"/>
        </w:rPr>
      </w:pPr>
      <w:r>
        <w:rPr>
          <w:rFonts w:hint="eastAsia" w:ascii="黑体" w:eastAsia="黑体"/>
          <w:sz w:val="28"/>
          <w:szCs w:val="28"/>
        </w:rPr>
        <w:t>二、机关运行经费支出情况</w:t>
      </w:r>
    </w:p>
    <w:p>
      <w:pPr>
        <w:spacing w:line="560" w:lineRule="exact"/>
        <w:ind w:firstLine="560" w:firstLineChars="200"/>
        <w:textAlignment w:val="center"/>
        <w:rPr>
          <w:rFonts w:hint="eastAsia" w:ascii="仿宋_GB2312" w:hAnsi="宋体" w:eastAsia="仿宋_GB2312"/>
          <w:sz w:val="28"/>
          <w:szCs w:val="28"/>
        </w:rPr>
      </w:pPr>
      <w:r>
        <w:rPr>
          <w:rFonts w:hint="eastAsia" w:ascii="仿宋_GB2312" w:hAnsi="宋体" w:eastAsia="仿宋_GB2312"/>
          <w:sz w:val="28"/>
          <w:szCs w:val="28"/>
        </w:rPr>
        <w:t>本单位不在机关运行经费统计范围之内</w:t>
      </w:r>
    </w:p>
    <w:p>
      <w:pPr>
        <w:spacing w:line="560" w:lineRule="exact"/>
        <w:ind w:firstLine="560" w:firstLineChars="200"/>
        <w:textAlignment w:val="center"/>
        <w:rPr>
          <w:rFonts w:hint="eastAsia" w:ascii="仿宋_GB2312" w:hAnsi="宋体" w:eastAsia="仿宋_GB2312"/>
          <w:sz w:val="28"/>
          <w:szCs w:val="28"/>
        </w:rPr>
      </w:pP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0.43</w:t>
      </w:r>
      <w:r>
        <w:rPr>
          <w:rFonts w:hint="eastAsia" w:ascii="仿宋_GB2312" w:eastAsia="仿宋_GB2312"/>
          <w:sz w:val="28"/>
          <w:szCs w:val="28"/>
        </w:rPr>
        <w:t>万元，其中：政府采购货物支出0万元，政府采购工程支出0万元，政府采购服务支出0.43万元。授予中小企业合同金额</w:t>
      </w:r>
      <w:r>
        <w:rPr>
          <w:rFonts w:ascii="仿宋_GB2312" w:eastAsia="仿宋_GB2312"/>
          <w:sz w:val="28"/>
          <w:szCs w:val="28"/>
        </w:rPr>
        <w:t>0.43</w:t>
      </w:r>
      <w:r>
        <w:rPr>
          <w:rFonts w:hint="eastAsia" w:ascii="仿宋_GB2312" w:eastAsia="仿宋_GB2312"/>
          <w:sz w:val="28"/>
          <w:szCs w:val="28"/>
        </w:rPr>
        <w:t>万元，占政府采购支出总额的100%，其中：授予小微企业合同金额</w:t>
      </w:r>
      <w:r>
        <w:rPr>
          <w:rFonts w:ascii="仿宋_GB2312" w:eastAsia="仿宋_GB2312"/>
          <w:sz w:val="28"/>
          <w:szCs w:val="28"/>
        </w:rPr>
        <w:t>0.43</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截至12月31日，北京市大兴区长子营镇成人学校共有车辆1台；单位价值100万元（含）以上的设备0台（套）。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textAlignment w:val="center"/>
        <w:rPr>
          <w:rFonts w:ascii="仿宋_GB2312" w:hAnsi="宋体" w:eastAsia="仿宋_GB2312"/>
          <w:sz w:val="28"/>
          <w:szCs w:val="28"/>
        </w:rPr>
      </w:pPr>
      <w:r>
        <w:rPr>
          <w:rFonts w:hint="eastAsia" w:ascii="仿宋_GB2312" w:hAnsi="宋体" w:eastAsia="仿宋_GB2312"/>
          <w:sz w:val="28"/>
          <w:szCs w:val="28"/>
        </w:rPr>
        <w:t>7.教育支出（类）普通教育（款）其他普通教育支出（项）：是指反映除学前教育、小学教育、初中教育、高中教育、高等教育以外其他用于普通教育方面的支出。</w:t>
      </w:r>
    </w:p>
    <w:p>
      <w:pPr>
        <w:ind w:firstLine="560" w:firstLineChars="200"/>
        <w:textAlignment w:val="center"/>
        <w:rPr>
          <w:rFonts w:ascii="仿宋_GB2312" w:hAnsi="宋体" w:eastAsia="仿宋_GB2312"/>
          <w:sz w:val="28"/>
          <w:szCs w:val="28"/>
        </w:rPr>
      </w:pPr>
      <w:r>
        <w:rPr>
          <w:rFonts w:hint="eastAsia" w:ascii="仿宋_GB2312" w:hAnsi="宋体" w:eastAsia="仿宋_GB2312"/>
          <w:sz w:val="28"/>
          <w:szCs w:val="28"/>
        </w:rPr>
        <w:t>8.教育支出（类）成人教育（款）成人初等教育支出（项）：是指反映各部门举办各类成人初等教育的支出。</w:t>
      </w:r>
    </w:p>
    <w:p>
      <w:pPr>
        <w:ind w:firstLine="560" w:firstLineChars="200"/>
        <w:textAlignment w:val="center"/>
        <w:rPr>
          <w:rFonts w:ascii="仿宋_GB2312" w:hAnsi="宋体" w:eastAsia="仿宋_GB2312"/>
          <w:sz w:val="28"/>
          <w:szCs w:val="28"/>
        </w:rPr>
      </w:pPr>
      <w:r>
        <w:rPr>
          <w:rFonts w:hint="eastAsia" w:ascii="仿宋_GB2312" w:hAnsi="宋体" w:eastAsia="仿宋_GB2312"/>
          <w:sz w:val="28"/>
          <w:szCs w:val="28"/>
        </w:rPr>
        <w:t>9.教育支出（类）成人教育（款）其他成人教育支出（项）：是指反映除成人初等教育、成人中等教育、成人高等教育、成人广播电视教育以外其他用于成人教育方面的支出。</w:t>
      </w:r>
    </w:p>
    <w:p>
      <w:pPr>
        <w:ind w:firstLine="560" w:firstLineChars="200"/>
        <w:textAlignment w:val="center"/>
        <w:rPr>
          <w:rFonts w:ascii="仿宋_GB2312" w:hAnsi="宋体" w:eastAsia="仿宋_GB2312"/>
          <w:sz w:val="28"/>
          <w:szCs w:val="28"/>
        </w:rPr>
      </w:pPr>
      <w:r>
        <w:rPr>
          <w:rFonts w:hint="eastAsia" w:ascii="仿宋_GB2312" w:hAnsi="宋体" w:eastAsia="仿宋_GB2312"/>
          <w:sz w:val="28"/>
          <w:szCs w:val="28"/>
        </w:rPr>
        <w:t>10.社会保障和就业支出（类）行政事业单位养老支出（款）机关事业单位基本养老保险缴费支出（项）：是指反映机关事业单位实施养老保险制度由单位缴纳的基本养老保险费支出。</w:t>
      </w:r>
    </w:p>
    <w:p>
      <w:pPr>
        <w:ind w:firstLine="560" w:firstLineChars="200"/>
        <w:textAlignment w:val="center"/>
        <w:rPr>
          <w:rFonts w:ascii="仿宋_GB2312" w:hAnsi="宋体" w:eastAsia="仿宋_GB2312"/>
          <w:sz w:val="28"/>
          <w:szCs w:val="28"/>
        </w:rPr>
      </w:pPr>
      <w:r>
        <w:rPr>
          <w:rFonts w:hint="eastAsia" w:ascii="仿宋_GB2312" w:hAnsi="宋体" w:eastAsia="仿宋_GB2312"/>
          <w:sz w:val="28"/>
          <w:szCs w:val="28"/>
        </w:rPr>
        <w:t>11.社会保障和就业支出（类）行政事业单位养老支出（款）机关事业单位职业年金缴费支出（项）：是指反映机关事业单位实施养老保险制度由单位实际缴纳的职业年金支出（含职业年金补记支出）。</w:t>
      </w:r>
    </w:p>
    <w:p>
      <w:pPr>
        <w:ind w:firstLine="560" w:firstLineChars="200"/>
        <w:textAlignment w:val="center"/>
        <w:rPr>
          <w:rFonts w:ascii="仿宋_GB2312" w:hAnsi="宋体" w:eastAsia="仿宋_GB2312"/>
          <w:sz w:val="28"/>
          <w:szCs w:val="28"/>
        </w:rPr>
      </w:pPr>
      <w:r>
        <w:rPr>
          <w:rFonts w:hint="eastAsia" w:ascii="仿宋_GB2312" w:hAnsi="宋体" w:eastAsia="仿宋_GB2312"/>
          <w:sz w:val="28"/>
          <w:szCs w:val="28"/>
        </w:rPr>
        <w:t>12.卫生健康支出（类）行政事业单位医疗（款）事业单位医疗（项）：是指反映财政部门安排的事业单位基本医疗保险缴费经费，未参加医疗保险的事业单位的公费医疗经费，按国家规定享受离休人员待遇的医疗经费。</w:t>
      </w:r>
    </w:p>
    <w:p>
      <w:pPr>
        <w:ind w:firstLine="560" w:firstLineChars="200"/>
        <w:textAlignment w:val="center"/>
        <w:rPr>
          <w:rFonts w:ascii="仿宋_GB2312" w:hAnsi="宋体" w:eastAsia="仿宋_GB2312"/>
          <w:sz w:val="28"/>
          <w:szCs w:val="28"/>
        </w:rPr>
      </w:pPr>
      <w:r>
        <w:rPr>
          <w:rFonts w:hint="eastAsia" w:ascii="仿宋_GB2312" w:hAnsi="宋体" w:eastAsia="仿宋_GB2312"/>
          <w:sz w:val="28"/>
          <w:szCs w:val="28"/>
        </w:rPr>
        <w:t>13.卫生健康支出（类）行政事业单位医疗（款）公务员医疗补助（项）：是指反映财政部门安排的公务员医疗补助经费。</w:t>
      </w:r>
    </w:p>
    <w:p>
      <w:pPr>
        <w:ind w:firstLine="560" w:firstLineChars="200"/>
        <w:rPr>
          <w:rFonts w:ascii="仿宋_GB2312" w:eastAsia="仿宋_GB2312"/>
          <w:sz w:val="28"/>
          <w:szCs w:val="28"/>
          <w:highlight w:val="yellow"/>
        </w:rPr>
      </w:pPr>
    </w:p>
    <w:p>
      <w:pPr>
        <w:rPr>
          <w:rFonts w:ascii="黑体" w:eastAsia="黑体"/>
          <w:sz w:val="32"/>
          <w:szCs w:val="32"/>
        </w:rPr>
      </w:pPr>
    </w:p>
    <w:p>
      <w:pPr>
        <w:rPr>
          <w:rFonts w:ascii="黑体" w:eastAsia="黑体"/>
          <w:sz w:val="32"/>
          <w:szCs w:val="32"/>
        </w:rPr>
      </w:pPr>
    </w:p>
    <w:p>
      <w:pPr>
        <w:rPr>
          <w:rFonts w:ascii="黑体" w:eastAsia="黑体"/>
          <w:sz w:val="32"/>
          <w:szCs w:val="32"/>
        </w:rPr>
      </w:pPr>
    </w:p>
    <w:p>
      <w:pPr>
        <w:rPr>
          <w:rFonts w:ascii="黑体" w:eastAsia="黑体"/>
          <w:sz w:val="32"/>
          <w:szCs w:val="32"/>
        </w:rPr>
      </w:pPr>
    </w:p>
    <w:p>
      <w:pPr>
        <w:rPr>
          <w:rFonts w:ascii="黑体" w:eastAsia="黑体"/>
          <w:sz w:val="32"/>
          <w:szCs w:val="32"/>
        </w:rPr>
      </w:pPr>
    </w:p>
    <w:p>
      <w:pPr>
        <w:rPr>
          <w:rFonts w:ascii="黑体" w:eastAsia="黑体"/>
          <w:sz w:val="32"/>
          <w:szCs w:val="32"/>
        </w:rPr>
      </w:pPr>
    </w:p>
    <w:p>
      <w:pPr>
        <w:rPr>
          <w:rFonts w:ascii="黑体" w:eastAsia="黑体"/>
          <w:sz w:val="32"/>
          <w:szCs w:val="32"/>
        </w:rPr>
      </w:pPr>
    </w:p>
    <w:p>
      <w:pPr>
        <w:rPr>
          <w:rFonts w:ascii="黑体" w:eastAsia="黑体"/>
          <w:sz w:val="32"/>
          <w:szCs w:val="32"/>
        </w:rPr>
      </w:pPr>
    </w:p>
    <w:p>
      <w:pPr>
        <w:ind w:firstLine="960" w:firstLineChars="300"/>
        <w:jc w:val="center"/>
        <w:rPr>
          <w:rFonts w:ascii="黑体" w:eastAsia="黑体"/>
          <w:sz w:val="32"/>
          <w:szCs w:val="32"/>
        </w:rPr>
      </w:pPr>
      <w:r>
        <w:rPr>
          <w:rFonts w:hint="eastAsia" w:ascii="黑体" w:eastAsia="黑体"/>
          <w:sz w:val="32"/>
          <w:szCs w:val="32"/>
        </w:rPr>
        <w:t>第四部分  2024年度部门绩效评价情况</w:t>
      </w:r>
    </w:p>
    <w:p>
      <w:pPr>
        <w:ind w:firstLine="560" w:firstLineChars="200"/>
        <w:jc w:val="center"/>
        <w:rPr>
          <w:rFonts w:ascii="黑体" w:eastAsia="黑体"/>
          <w:sz w:val="28"/>
          <w:szCs w:val="28"/>
          <w:highlight w:val="yellow"/>
        </w:rPr>
      </w:pPr>
    </w:p>
    <w:p>
      <w:pPr>
        <w:numPr>
          <w:ilvl w:val="0"/>
          <w:numId w:val="1"/>
        </w:numPr>
        <w:ind w:firstLine="560" w:firstLineChars="200"/>
        <w:jc w:val="center"/>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pPr>
        <w:spacing w:line="480" w:lineRule="exact"/>
        <w:ind w:firstLine="420"/>
        <w:rPr>
          <w:rFonts w:ascii="黑体" w:eastAsia="黑体"/>
          <w:sz w:val="28"/>
          <w:szCs w:val="28"/>
        </w:rPr>
      </w:pPr>
      <w:r>
        <w:rPr>
          <w:rFonts w:hint="eastAsia" w:ascii="黑体" w:eastAsia="黑体"/>
          <w:sz w:val="28"/>
          <w:szCs w:val="28"/>
        </w:rPr>
        <w:t xml:space="preserve"> </w:t>
      </w:r>
    </w:p>
    <w:p>
      <w:pPr>
        <w:spacing w:line="480" w:lineRule="exact"/>
      </w:pPr>
      <w:bookmarkStart w:id="0" w:name="_GoBack"/>
      <w:bookmarkEnd w:id="0"/>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7</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0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A4204"/>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C7F74"/>
    <w:rsid w:val="001D1C7E"/>
    <w:rsid w:val="001D78D9"/>
    <w:rsid w:val="001E0556"/>
    <w:rsid w:val="001E2355"/>
    <w:rsid w:val="001E2379"/>
    <w:rsid w:val="001E29A9"/>
    <w:rsid w:val="001F5857"/>
    <w:rsid w:val="00206EC3"/>
    <w:rsid w:val="0021047C"/>
    <w:rsid w:val="00211E4E"/>
    <w:rsid w:val="00213D1C"/>
    <w:rsid w:val="00214C3A"/>
    <w:rsid w:val="002154AC"/>
    <w:rsid w:val="00217517"/>
    <w:rsid w:val="00222628"/>
    <w:rsid w:val="002253CB"/>
    <w:rsid w:val="002267A6"/>
    <w:rsid w:val="002320CC"/>
    <w:rsid w:val="002326DE"/>
    <w:rsid w:val="00234314"/>
    <w:rsid w:val="002400D6"/>
    <w:rsid w:val="00241724"/>
    <w:rsid w:val="0024390C"/>
    <w:rsid w:val="002441F4"/>
    <w:rsid w:val="00244204"/>
    <w:rsid w:val="002448A4"/>
    <w:rsid w:val="00245A0A"/>
    <w:rsid w:val="00245F55"/>
    <w:rsid w:val="00246C42"/>
    <w:rsid w:val="002515CC"/>
    <w:rsid w:val="00253EC4"/>
    <w:rsid w:val="00254515"/>
    <w:rsid w:val="0026479D"/>
    <w:rsid w:val="002673C4"/>
    <w:rsid w:val="00267D06"/>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5624"/>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2569"/>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677DA"/>
    <w:rsid w:val="003712DB"/>
    <w:rsid w:val="00373DDC"/>
    <w:rsid w:val="00382A86"/>
    <w:rsid w:val="00383BCC"/>
    <w:rsid w:val="00385243"/>
    <w:rsid w:val="00386078"/>
    <w:rsid w:val="003925D4"/>
    <w:rsid w:val="0039318C"/>
    <w:rsid w:val="00393366"/>
    <w:rsid w:val="003937DC"/>
    <w:rsid w:val="003938FA"/>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46D8"/>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3C17"/>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33D"/>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D1ED6"/>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1420"/>
    <w:rsid w:val="00576B03"/>
    <w:rsid w:val="00581E1A"/>
    <w:rsid w:val="0058586F"/>
    <w:rsid w:val="00591655"/>
    <w:rsid w:val="00591BEC"/>
    <w:rsid w:val="005940EA"/>
    <w:rsid w:val="00594448"/>
    <w:rsid w:val="005A1D6F"/>
    <w:rsid w:val="005A4D82"/>
    <w:rsid w:val="005A52A6"/>
    <w:rsid w:val="005B0DEC"/>
    <w:rsid w:val="005B368E"/>
    <w:rsid w:val="005B6E69"/>
    <w:rsid w:val="005B7CC5"/>
    <w:rsid w:val="005C0015"/>
    <w:rsid w:val="005C1E82"/>
    <w:rsid w:val="005C2BCE"/>
    <w:rsid w:val="005C2CA5"/>
    <w:rsid w:val="005C7062"/>
    <w:rsid w:val="005C7788"/>
    <w:rsid w:val="005D10B9"/>
    <w:rsid w:val="005D18DA"/>
    <w:rsid w:val="005E00DC"/>
    <w:rsid w:val="005E3BBC"/>
    <w:rsid w:val="005E3EC6"/>
    <w:rsid w:val="005E4E07"/>
    <w:rsid w:val="005E4E46"/>
    <w:rsid w:val="005E5075"/>
    <w:rsid w:val="005E5275"/>
    <w:rsid w:val="005E7DC8"/>
    <w:rsid w:val="005E7EC9"/>
    <w:rsid w:val="005F7087"/>
    <w:rsid w:val="00605DA0"/>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A6161"/>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0B3B"/>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1031"/>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063B"/>
    <w:rsid w:val="009524EB"/>
    <w:rsid w:val="00962013"/>
    <w:rsid w:val="00963942"/>
    <w:rsid w:val="0096716C"/>
    <w:rsid w:val="009672B2"/>
    <w:rsid w:val="00971C66"/>
    <w:rsid w:val="00972363"/>
    <w:rsid w:val="0098419C"/>
    <w:rsid w:val="009843EF"/>
    <w:rsid w:val="0098476E"/>
    <w:rsid w:val="00985D7F"/>
    <w:rsid w:val="009867F2"/>
    <w:rsid w:val="00991347"/>
    <w:rsid w:val="00996018"/>
    <w:rsid w:val="0099738E"/>
    <w:rsid w:val="009A2BAA"/>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5D4E"/>
    <w:rsid w:val="009D694D"/>
    <w:rsid w:val="009E264E"/>
    <w:rsid w:val="009F0C98"/>
    <w:rsid w:val="009F0F81"/>
    <w:rsid w:val="009F2543"/>
    <w:rsid w:val="009F256D"/>
    <w:rsid w:val="009F341E"/>
    <w:rsid w:val="009F57CE"/>
    <w:rsid w:val="009F5847"/>
    <w:rsid w:val="00A1148A"/>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2F8B"/>
    <w:rsid w:val="00A44E87"/>
    <w:rsid w:val="00A5063C"/>
    <w:rsid w:val="00A52749"/>
    <w:rsid w:val="00A5422E"/>
    <w:rsid w:val="00A56EC1"/>
    <w:rsid w:val="00A6350C"/>
    <w:rsid w:val="00A6370B"/>
    <w:rsid w:val="00A63A73"/>
    <w:rsid w:val="00A653DA"/>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14E50"/>
    <w:rsid w:val="00B22BC3"/>
    <w:rsid w:val="00B25865"/>
    <w:rsid w:val="00B272B6"/>
    <w:rsid w:val="00B2771B"/>
    <w:rsid w:val="00B336E9"/>
    <w:rsid w:val="00B33AE5"/>
    <w:rsid w:val="00B35BE5"/>
    <w:rsid w:val="00B46965"/>
    <w:rsid w:val="00B54ED0"/>
    <w:rsid w:val="00B55D47"/>
    <w:rsid w:val="00B6204E"/>
    <w:rsid w:val="00B62F57"/>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B31FE"/>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432"/>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54C4"/>
    <w:rsid w:val="00C76852"/>
    <w:rsid w:val="00C77210"/>
    <w:rsid w:val="00C777FA"/>
    <w:rsid w:val="00C77989"/>
    <w:rsid w:val="00C80C6E"/>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D629B"/>
    <w:rsid w:val="00CE19F6"/>
    <w:rsid w:val="00CE6B76"/>
    <w:rsid w:val="00CF366B"/>
    <w:rsid w:val="00CF5D9D"/>
    <w:rsid w:val="00CF606C"/>
    <w:rsid w:val="00CF7423"/>
    <w:rsid w:val="00D001F5"/>
    <w:rsid w:val="00D03932"/>
    <w:rsid w:val="00D03E80"/>
    <w:rsid w:val="00D1505F"/>
    <w:rsid w:val="00D15B9F"/>
    <w:rsid w:val="00D15DD6"/>
    <w:rsid w:val="00D25548"/>
    <w:rsid w:val="00D2601F"/>
    <w:rsid w:val="00D27759"/>
    <w:rsid w:val="00D30028"/>
    <w:rsid w:val="00D304C5"/>
    <w:rsid w:val="00D325D3"/>
    <w:rsid w:val="00D408D6"/>
    <w:rsid w:val="00D511DD"/>
    <w:rsid w:val="00D55C2A"/>
    <w:rsid w:val="00D55C3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9330E"/>
    <w:rsid w:val="00EA11B1"/>
    <w:rsid w:val="00EA2224"/>
    <w:rsid w:val="00EA5EC6"/>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EF7A24"/>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4BD5"/>
    <w:rsid w:val="00F6514E"/>
    <w:rsid w:val="00F703DC"/>
    <w:rsid w:val="00F71D06"/>
    <w:rsid w:val="00F73B46"/>
    <w:rsid w:val="00F73D01"/>
    <w:rsid w:val="00F7642B"/>
    <w:rsid w:val="00F76A43"/>
    <w:rsid w:val="00F80334"/>
    <w:rsid w:val="00F8139D"/>
    <w:rsid w:val="00F83DF9"/>
    <w:rsid w:val="00F85DA0"/>
    <w:rsid w:val="00F930AF"/>
    <w:rsid w:val="00F9352C"/>
    <w:rsid w:val="00F96A06"/>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4C4DA3"/>
    <w:rsid w:val="02F120AB"/>
    <w:rsid w:val="032B5196"/>
    <w:rsid w:val="032E5B4F"/>
    <w:rsid w:val="04C3537C"/>
    <w:rsid w:val="050414F1"/>
    <w:rsid w:val="05616943"/>
    <w:rsid w:val="079004AC"/>
    <w:rsid w:val="07CC56E3"/>
    <w:rsid w:val="0831694E"/>
    <w:rsid w:val="0AE35F8A"/>
    <w:rsid w:val="0BA148CA"/>
    <w:rsid w:val="0BD66AF1"/>
    <w:rsid w:val="0C1165C4"/>
    <w:rsid w:val="0D6D544B"/>
    <w:rsid w:val="0DD136FE"/>
    <w:rsid w:val="0EAF4BC3"/>
    <w:rsid w:val="0F542F2C"/>
    <w:rsid w:val="0F8E2C57"/>
    <w:rsid w:val="0FFA26EB"/>
    <w:rsid w:val="1059665E"/>
    <w:rsid w:val="10AC13BA"/>
    <w:rsid w:val="112B56B0"/>
    <w:rsid w:val="145A6C1B"/>
    <w:rsid w:val="14B73493"/>
    <w:rsid w:val="15DD0268"/>
    <w:rsid w:val="167A2FF9"/>
    <w:rsid w:val="16D639F9"/>
    <w:rsid w:val="1764587C"/>
    <w:rsid w:val="18581C69"/>
    <w:rsid w:val="1AEC0734"/>
    <w:rsid w:val="1CB6711D"/>
    <w:rsid w:val="1DD61D86"/>
    <w:rsid w:val="1DEF20B0"/>
    <w:rsid w:val="1F525822"/>
    <w:rsid w:val="1FF7AB17"/>
    <w:rsid w:val="20B67CC9"/>
    <w:rsid w:val="214243FA"/>
    <w:rsid w:val="21AD613C"/>
    <w:rsid w:val="22467189"/>
    <w:rsid w:val="257A14F5"/>
    <w:rsid w:val="27196C26"/>
    <w:rsid w:val="27644F7B"/>
    <w:rsid w:val="282B4205"/>
    <w:rsid w:val="29EF086F"/>
    <w:rsid w:val="2BC34C59"/>
    <w:rsid w:val="2EFFE297"/>
    <w:rsid w:val="301437CA"/>
    <w:rsid w:val="30EC41E7"/>
    <w:rsid w:val="31F500A1"/>
    <w:rsid w:val="33BE3859"/>
    <w:rsid w:val="34613F8F"/>
    <w:rsid w:val="349D1F0A"/>
    <w:rsid w:val="34DD0473"/>
    <w:rsid w:val="39796ACA"/>
    <w:rsid w:val="3A49130D"/>
    <w:rsid w:val="3A8E35DC"/>
    <w:rsid w:val="3C684897"/>
    <w:rsid w:val="401945D4"/>
    <w:rsid w:val="433E495C"/>
    <w:rsid w:val="448E0D67"/>
    <w:rsid w:val="44EB64CD"/>
    <w:rsid w:val="46EC3E5B"/>
    <w:rsid w:val="486624DC"/>
    <w:rsid w:val="489F2FD7"/>
    <w:rsid w:val="4AC27CB3"/>
    <w:rsid w:val="4BF72BEF"/>
    <w:rsid w:val="4E204A62"/>
    <w:rsid w:val="4FA90297"/>
    <w:rsid w:val="4FC41A43"/>
    <w:rsid w:val="508C70E9"/>
    <w:rsid w:val="51DB3C59"/>
    <w:rsid w:val="550C0952"/>
    <w:rsid w:val="55762E42"/>
    <w:rsid w:val="573E602B"/>
    <w:rsid w:val="57A7B272"/>
    <w:rsid w:val="57D1340E"/>
    <w:rsid w:val="58470068"/>
    <w:rsid w:val="58747CAC"/>
    <w:rsid w:val="587873A1"/>
    <w:rsid w:val="5A1720F9"/>
    <w:rsid w:val="5A7C2ADE"/>
    <w:rsid w:val="5B9C37C2"/>
    <w:rsid w:val="5BA10459"/>
    <w:rsid w:val="5BA7C654"/>
    <w:rsid w:val="5DF716AE"/>
    <w:rsid w:val="5F9F507E"/>
    <w:rsid w:val="60A54109"/>
    <w:rsid w:val="615B3C1B"/>
    <w:rsid w:val="61D01CDF"/>
    <w:rsid w:val="62301D70"/>
    <w:rsid w:val="63774B0A"/>
    <w:rsid w:val="64C0607C"/>
    <w:rsid w:val="65756C86"/>
    <w:rsid w:val="674D385B"/>
    <w:rsid w:val="676F09E1"/>
    <w:rsid w:val="6ACB15B2"/>
    <w:rsid w:val="6B001782"/>
    <w:rsid w:val="6B8D169E"/>
    <w:rsid w:val="6D7B2E1B"/>
    <w:rsid w:val="6F802AE9"/>
    <w:rsid w:val="6F977CB5"/>
    <w:rsid w:val="71691990"/>
    <w:rsid w:val="71793A80"/>
    <w:rsid w:val="7357290B"/>
    <w:rsid w:val="756E3DEA"/>
    <w:rsid w:val="76FB1693"/>
    <w:rsid w:val="78300CA6"/>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1247.69</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zero"/>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01"/>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272.03</c:v>
                </c:pt>
                <c:pt idx="1">
                  <c:v>993.16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zero"/>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681</Words>
  <Characters>3882</Characters>
  <Lines>32</Lines>
  <Paragraphs>9</Paragraphs>
  <TotalTime>1</TotalTime>
  <ScaleCrop>false</ScaleCrop>
  <LinksUpToDate>false</LinksUpToDate>
  <CharactersWithSpaces>4554</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cp:lastModifiedBy>
  <cp:lastPrinted>2025-09-18T02:42:00Z</cp:lastPrinted>
  <dcterms:modified xsi:type="dcterms:W3CDTF">2025-09-28T09:41:04Z</dcterms:modified>
  <dc:title>北京市财政局关于做好向市人大常委会报送2015年度市级部门决算（草案）</dc:title>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620E0C0A728F48ADAE2CCD1FC660EE50</vt:lpwstr>
  </property>
  <property fmtid="{D5CDD505-2E9C-101B-9397-08002B2CF9AE}" pid="4" name="KSOTemplateDocerSaveRecord">
    <vt:lpwstr>eyJoZGlkIjoiZTZjNTNjMWYwMWZhMTA1ZjJmY2Q3YjIzODFiOTQ1MzMifQ==</vt:lpwstr>
  </property>
</Properties>
</file>