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ascii="仿宋_GB2312" w:hAnsi="宋体" w:eastAsia="仿宋_GB2312"/>
          <w:bCs/>
          <w:sz w:val="28"/>
          <w:szCs w:val="28"/>
        </w:rPr>
      </w:pPr>
      <w:r>
        <w:rPr>
          <w:rFonts w:hint="eastAsia" w:ascii="仿宋_GB2312" w:hAnsi="宋体" w:eastAsia="仿宋_GB2312"/>
          <w:bCs/>
          <w:sz w:val="28"/>
          <w:szCs w:val="28"/>
        </w:rPr>
        <w:t>主要职责：主要职责是实施学前教育，促进基础教育发展。</w:t>
      </w:r>
    </w:p>
    <w:p>
      <w:pPr>
        <w:tabs>
          <w:tab w:val="center" w:pos="6979"/>
        </w:tabs>
        <w:spacing w:line="580" w:lineRule="exact"/>
        <w:ind w:firstLine="560" w:firstLineChars="200"/>
        <w:rPr>
          <w:rFonts w:ascii="仿宋_GB2312" w:hAnsi="宋体" w:eastAsia="仿宋_GB2312"/>
          <w:bCs/>
          <w:sz w:val="28"/>
          <w:szCs w:val="28"/>
        </w:rPr>
      </w:pPr>
      <w:r>
        <w:rPr>
          <w:rFonts w:hint="eastAsia" w:ascii="仿宋_GB2312" w:hAnsi="宋体" w:eastAsia="仿宋_GB2312"/>
          <w:bCs/>
          <w:sz w:val="28"/>
          <w:szCs w:val="28"/>
        </w:rPr>
        <w:t>机构设置：下设园长室、财务室、后勤、保健室、保教室、安全保卫、资料室等部门</w:t>
      </w:r>
      <w:r>
        <w:rPr>
          <w:rFonts w:hint="eastAsia" w:ascii="仿宋_GB2312" w:eastAsia="仿宋_GB2312"/>
          <w:kern w:val="0"/>
          <w:sz w:val="28"/>
          <w:szCs w:val="28"/>
        </w:rPr>
        <w:t>。</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2735.03</w:t>
      </w:r>
      <w:r>
        <w:rPr>
          <w:rFonts w:hint="eastAsia" w:ascii="仿宋_GB2312" w:eastAsia="仿宋_GB2312"/>
          <w:sz w:val="28"/>
          <w:szCs w:val="28"/>
        </w:rPr>
        <w:t>万元，比上年减少65.79万元，下降2.41%。</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2606.11</w:t>
      </w:r>
      <w:r>
        <w:rPr>
          <w:rFonts w:hint="eastAsia" w:ascii="仿宋_GB2312" w:eastAsia="仿宋_GB2312"/>
          <w:sz w:val="28"/>
          <w:szCs w:val="28"/>
        </w:rPr>
        <w:t>万元，比上年减少150.15万元，下降5.76%</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bookmarkStart w:id="0" w:name="OLE_LINK8"/>
      <w:r>
        <w:rPr>
          <w:rFonts w:ascii="仿宋_GB2312" w:eastAsia="仿宋_GB2312"/>
          <w:sz w:val="28"/>
          <w:szCs w:val="28"/>
        </w:rPr>
        <w:t>2606.11</w:t>
      </w:r>
      <w:bookmarkEnd w:id="0"/>
      <w:r>
        <w:rPr>
          <w:rFonts w:hint="eastAsia" w:ascii="仿宋_GB2312" w:eastAsia="仿宋_GB2312"/>
          <w:sz w:val="28"/>
          <w:szCs w:val="28"/>
        </w:rPr>
        <w:t>万元，占收入合计的100%。其中：一般公共预算财政拨款收入</w:t>
      </w:r>
      <w:r>
        <w:rPr>
          <w:rFonts w:ascii="仿宋_GB2312" w:eastAsia="仿宋_GB2312"/>
          <w:sz w:val="28"/>
          <w:szCs w:val="28"/>
        </w:rPr>
        <w:t>2606.11</w:t>
      </w:r>
      <w:r>
        <w:rPr>
          <w:rFonts w:hint="eastAsia" w:ascii="仿宋_GB2312" w:eastAsia="仿宋_GB2312"/>
          <w:sz w:val="28"/>
          <w:szCs w:val="28"/>
        </w:rPr>
        <w:t>万元，占收入合计的100%；政府性基金预算财政拨款收入0万元，占收入合计的0%；国有资本经营预算财政拨款收入0万元，占收入合计的0%；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pPr>
        <w:pStyle w:val="2"/>
        <w:jc w:val="center"/>
      </w:pPr>
      <w:r>
        <w:rPr>
          <w:rFonts w:hint="eastAsia" w:ascii="仿宋_GB2312" w:eastAsia="仿宋_GB2312"/>
          <w:color w:val="000000"/>
          <w:sz w:val="32"/>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2735.03</w:t>
      </w:r>
      <w:r>
        <w:rPr>
          <w:rFonts w:hint="eastAsia" w:ascii="仿宋_GB2312" w:eastAsia="仿宋_GB2312"/>
          <w:sz w:val="28"/>
          <w:szCs w:val="28"/>
        </w:rPr>
        <w:t>万元，</w:t>
      </w:r>
      <w:bookmarkStart w:id="1" w:name="OLE_LINK5"/>
      <w:r>
        <w:rPr>
          <w:rFonts w:hint="eastAsia" w:ascii="仿宋_GB2312" w:eastAsia="仿宋_GB2312"/>
          <w:sz w:val="28"/>
          <w:szCs w:val="28"/>
        </w:rPr>
        <w:t>比上年减少65.79万元，下降2.41%</w:t>
      </w:r>
      <w:bookmarkEnd w:id="1"/>
      <w:r>
        <w:rPr>
          <w:rFonts w:hint="eastAsia" w:ascii="仿宋_GB2312" w:eastAsia="仿宋_GB2312"/>
          <w:sz w:val="28"/>
          <w:szCs w:val="28"/>
        </w:rPr>
        <w:t>，其中：基本支出</w:t>
      </w:r>
      <w:r>
        <w:rPr>
          <w:rFonts w:ascii="仿宋_GB2312" w:eastAsia="仿宋_GB2312"/>
          <w:sz w:val="28"/>
          <w:szCs w:val="28"/>
        </w:rPr>
        <w:t>1615.1</w:t>
      </w:r>
      <w:r>
        <w:rPr>
          <w:rFonts w:hint="eastAsia" w:ascii="仿宋_GB2312" w:eastAsia="仿宋_GB2312"/>
          <w:sz w:val="28"/>
          <w:szCs w:val="28"/>
        </w:rPr>
        <w:t>万元，占支出合计的59.05%；项目支出</w:t>
      </w:r>
      <w:r>
        <w:rPr>
          <w:rFonts w:ascii="仿宋_GB2312" w:eastAsia="仿宋_GB2312"/>
          <w:sz w:val="28"/>
          <w:szCs w:val="28"/>
        </w:rPr>
        <w:t>1119.93</w:t>
      </w:r>
      <w:r>
        <w:rPr>
          <w:rFonts w:hint="eastAsia" w:ascii="仿宋_GB2312" w:eastAsia="仿宋_GB2312"/>
          <w:sz w:val="28"/>
          <w:szCs w:val="28"/>
        </w:rPr>
        <w:t>万元，占支出合计的40.95%;上缴上级支出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2735.03</w:t>
      </w:r>
      <w:r>
        <w:rPr>
          <w:rFonts w:hint="eastAsia" w:ascii="仿宋_GB2312" w:eastAsia="仿宋_GB2312"/>
          <w:sz w:val="28"/>
          <w:szCs w:val="28"/>
        </w:rPr>
        <w:t>万元，比上年减少65.79万元，下降2.41%。主要原因：2023年新建园信息化建设项目、应急修缮-屋顶防水改造工程、应急修缮、电路改造工程项目已完成，2024年项目资金减少。</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2024年度一般公共预算财政拨款支出2735.03万元，主要用于以下方面：教育支出2323.45万元，占本年财政拨款支出84.95%。社会保障和就业支出174.44万元，占本年财政拨款支出6.38%。卫生健康支出108.23万元，占本年财政拨款支出3.96%。住房保障支出128.91万元，占本年财政拨款支出4.71%。</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1、“教育支出”</w:t>
      </w:r>
      <w:bookmarkStart w:id="2" w:name="OLE_LINK16"/>
      <w:bookmarkStart w:id="3" w:name="OLE_LINK17"/>
      <w:r>
        <w:rPr>
          <w:rFonts w:hint="eastAsia" w:ascii="仿宋_GB2312" w:eastAsia="仿宋_GB2312"/>
          <w:sz w:val="28"/>
          <w:szCs w:val="28"/>
        </w:rPr>
        <w:t>2024年度年初预算2327.74万元，2024年度决算2323.45万元，完成年初预算的99.82%。</w:t>
      </w:r>
      <w:bookmarkEnd w:id="2"/>
      <w:bookmarkEnd w:id="3"/>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“普通教育”2024年度年初预算2327.74万元，2024年度决算2323.45万元，</w:t>
      </w:r>
      <w:bookmarkStart w:id="4" w:name="OLE_LINK21"/>
      <w:bookmarkStart w:id="5" w:name="OLE_LINK22"/>
      <w:r>
        <w:rPr>
          <w:rFonts w:hint="eastAsia" w:ascii="仿宋_GB2312" w:eastAsia="仿宋_GB2312"/>
          <w:sz w:val="28"/>
          <w:szCs w:val="28"/>
        </w:rPr>
        <w:t>完成年初预算的99.82%。</w:t>
      </w:r>
      <w:bookmarkEnd w:id="4"/>
      <w:bookmarkEnd w:id="5"/>
      <w:r>
        <w:rPr>
          <w:rFonts w:hint="eastAsia" w:ascii="仿宋_GB2312" w:eastAsia="仿宋_GB2312"/>
          <w:sz w:val="28"/>
          <w:szCs w:val="28"/>
        </w:rPr>
        <w:t>主要原因：1人退休减少人员经费。</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 xml:space="preserve">2、“社会保障和就业支出” </w:t>
      </w:r>
      <w:bookmarkStart w:id="6" w:name="OLE_LINK24"/>
      <w:bookmarkStart w:id="7" w:name="OLE_LINK23"/>
      <w:r>
        <w:rPr>
          <w:rFonts w:hint="eastAsia" w:ascii="仿宋_GB2312" w:eastAsia="仿宋_GB2312"/>
          <w:sz w:val="28"/>
          <w:szCs w:val="28"/>
        </w:rPr>
        <w:t>2024年年初预算166.01万元，2024年度决算174.44万元，完成年初预算的105.08%。</w:t>
      </w:r>
      <w:bookmarkEnd w:id="6"/>
      <w:bookmarkEnd w:id="7"/>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 2024年年初预算166.01万元，2024年度决算174.44万元，</w:t>
      </w:r>
      <w:bookmarkStart w:id="8" w:name="OLE_LINK25"/>
      <w:bookmarkStart w:id="9" w:name="OLE_LINK26"/>
      <w:r>
        <w:rPr>
          <w:rFonts w:hint="eastAsia" w:ascii="仿宋_GB2312" w:eastAsia="仿宋_GB2312"/>
          <w:sz w:val="28"/>
          <w:szCs w:val="28"/>
        </w:rPr>
        <w:t>完成年初预算的105.08%。</w:t>
      </w:r>
      <w:bookmarkEnd w:id="8"/>
      <w:bookmarkEnd w:id="9"/>
      <w:r>
        <w:rPr>
          <w:rFonts w:hint="eastAsia" w:ascii="仿宋_GB2312" w:eastAsia="仿宋_GB2312"/>
          <w:sz w:val="28"/>
          <w:szCs w:val="28"/>
        </w:rPr>
        <w:t>主要原因：养老保险缴费基数整体增加。</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 xml:space="preserve">3、“卫生健康支出” </w:t>
      </w:r>
      <w:bookmarkStart w:id="10" w:name="OLE_LINK27"/>
      <w:bookmarkStart w:id="11" w:name="OLE_LINK28"/>
      <w:r>
        <w:rPr>
          <w:rFonts w:hint="eastAsia" w:ascii="仿宋_GB2312" w:eastAsia="仿宋_GB2312"/>
          <w:sz w:val="28"/>
          <w:szCs w:val="28"/>
        </w:rPr>
        <w:t>2024年年初预算124.03万元，2024年度决算108.23万元，完成年初预算的87.26%。</w:t>
      </w:r>
      <w:bookmarkEnd w:id="10"/>
      <w:bookmarkEnd w:id="11"/>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“行政事业单位医疗”2024年年初预算124.03万元，2024年度决算108.23万元，完成年初预算的87.26%。主要原因：社会保险缴费基数减少。</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4、“住房保障支出”</w:t>
      </w:r>
      <w:bookmarkStart w:id="12" w:name="OLE_LINK31"/>
      <w:bookmarkStart w:id="13" w:name="OLE_LINK32"/>
      <w:r>
        <w:rPr>
          <w:rFonts w:hint="eastAsia" w:ascii="仿宋_GB2312" w:eastAsia="仿宋_GB2312"/>
          <w:sz w:val="28"/>
          <w:szCs w:val="28"/>
        </w:rPr>
        <w:t>2024年年初预算0万元，2024年度决算128.91万元，增长100%。</w:t>
      </w:r>
      <w:bookmarkEnd w:id="12"/>
      <w:bookmarkEnd w:id="13"/>
    </w:p>
    <w:p>
      <w:pPr>
        <w:spacing w:line="580" w:lineRule="exact"/>
        <w:ind w:firstLine="560" w:firstLineChars="200"/>
        <w:rPr>
          <w:rFonts w:ascii="黑体" w:eastAsia="黑体"/>
          <w:b/>
          <w:sz w:val="28"/>
          <w:szCs w:val="28"/>
        </w:rPr>
      </w:pPr>
      <w:r>
        <w:rPr>
          <w:rFonts w:hint="eastAsia" w:ascii="仿宋_GB2312" w:eastAsia="仿宋_GB2312"/>
          <w:sz w:val="28"/>
          <w:szCs w:val="28"/>
        </w:rPr>
        <w:t>“住房改革支出”2024年年初预算0万元，2024年度决算128.91万元，增长100%。主要原因：补发了住房补贴。</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政府性基金预算财政拨款支出决算总体情况：2024年度政府性基金预算财政拨款支出</w:t>
      </w:r>
      <w:r>
        <w:rPr>
          <w:rFonts w:ascii="仿宋_GB2312" w:eastAsia="仿宋_GB2312"/>
          <w:sz w:val="28"/>
          <w:szCs w:val="28"/>
        </w:rPr>
        <w:t>0</w:t>
      </w:r>
      <w:r>
        <w:rPr>
          <w:rFonts w:hint="eastAsia" w:ascii="仿宋_GB2312" w:eastAsia="仿宋_GB2312"/>
          <w:sz w:val="28"/>
          <w:szCs w:val="28"/>
        </w:rPr>
        <w:t>万元。</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1615.1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1.49</w:t>
      </w:r>
      <w:r>
        <w:rPr>
          <w:rFonts w:hint="eastAsia" w:ascii="仿宋_GB2312" w:eastAsia="仿宋_GB2312"/>
          <w:sz w:val="28"/>
          <w:szCs w:val="28"/>
        </w:rPr>
        <w:t>万元，比2024年度“三公”经费财政拨款年初预算</w:t>
      </w:r>
      <w:r>
        <w:rPr>
          <w:rFonts w:ascii="仿宋_GB2312" w:eastAsia="仿宋_GB2312"/>
          <w:sz w:val="28"/>
          <w:szCs w:val="28"/>
        </w:rPr>
        <w:t>2.7</w:t>
      </w:r>
      <w:r>
        <w:rPr>
          <w:rFonts w:hint="eastAsia" w:ascii="仿宋_GB2312" w:eastAsia="仿宋_GB2312"/>
          <w:sz w:val="28"/>
          <w:szCs w:val="28"/>
        </w:rPr>
        <w:t>万元减少1.21万元。其中：</w:t>
      </w:r>
    </w:p>
    <w:p>
      <w:pPr>
        <w:spacing w:line="560" w:lineRule="exact"/>
        <w:ind w:firstLine="600"/>
        <w:rPr>
          <w:rFonts w:ascii="仿宋_GB2312" w:eastAsia="仿宋_GB2312"/>
          <w:sz w:val="28"/>
          <w:szCs w:val="28"/>
        </w:rPr>
      </w:pPr>
      <w:r>
        <w:rPr>
          <w:rFonts w:hint="eastAsia" w:ascii="仿宋_GB2312" w:eastAsia="仿宋_GB2312"/>
          <w:sz w:val="28"/>
          <w:szCs w:val="28"/>
        </w:rPr>
        <w:t>1. 因公出国（境）费用。2024年度决算数0万元，比2024年度年初预算数0万元增加0万元。主要原因：因公出国(境)费用根据年度出国审批情况作为追加项目管理，单位不做年初预算，本年也没有出国审批项目发生。2024年度因公出国(境)费用主要用于出国的会议、培训等事项，2024年度组织因公出国(境)团组0个、0人次，人均因公出国(境)费用0万元。</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2.公务接待费。2024年度决算数0万元，比2024年度年初预算数0万元增加0万元。</w:t>
      </w:r>
      <w:r>
        <w:rPr>
          <w:rFonts w:hint="eastAsia" w:ascii="仿宋_GB2312" w:hAnsi="Times New Roman" w:eastAsia="仿宋_GB2312" w:cs="Times New Roman"/>
          <w:kern w:val="2"/>
          <w:sz w:val="28"/>
          <w:szCs w:val="28"/>
          <w:lang w:val="en-US" w:eastAsia="zh-CN" w:bidi="ar"/>
        </w:rPr>
        <w:t>严格按照“三公”经费使用管理要求，严控非必要公务接待事项</w:t>
      </w:r>
      <w:r>
        <w:rPr>
          <w:rFonts w:hint="eastAsia" w:ascii="仿宋_GB2312" w:eastAsia="仿宋_GB2312" w:cs="Times New Roman"/>
          <w:kern w:val="2"/>
          <w:sz w:val="28"/>
          <w:szCs w:val="28"/>
          <w:lang w:val="en-US" w:eastAsia="zh-CN" w:bidi="ar"/>
        </w:rPr>
        <w:t>，</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3.公务用车购置及运行维护费。2024年度决算数1.49万元，比2024年度年初预算数2.7万元减少1.21万元。其中，公务用车购置费2024年度决算数0万元， 主要原因：本年度</w:t>
      </w:r>
      <w:r>
        <w:rPr>
          <w:rFonts w:hint="eastAsia" w:ascii="仿宋_GB2312" w:eastAsia="仿宋_GB2312"/>
          <w:sz w:val="28"/>
          <w:szCs w:val="28"/>
          <w:lang w:eastAsia="zh-CN"/>
        </w:rPr>
        <w:t>无</w:t>
      </w:r>
      <w:r>
        <w:rPr>
          <w:rFonts w:hint="eastAsia" w:ascii="仿宋_GB2312" w:eastAsia="仿宋_GB2312"/>
          <w:sz w:val="28"/>
          <w:szCs w:val="28"/>
        </w:rPr>
        <w:t>新购车辆。202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w:t>
      </w:r>
      <w:bookmarkStart w:id="16" w:name="_GoBack"/>
      <w:bookmarkEnd w:id="16"/>
      <w:r>
        <w:rPr>
          <w:rFonts w:hint="eastAsia" w:ascii="仿宋_GB2312" w:eastAsia="仿宋_GB2312"/>
          <w:sz w:val="28"/>
          <w:szCs w:val="28"/>
        </w:rPr>
        <w:t>公务用车运行维护费2024年度决算数1.49万元，主要原因：压减公务用车支出。2024年度公务用车保有量</w:t>
      </w:r>
      <w:r>
        <w:rPr>
          <w:rFonts w:ascii="仿宋_GB2312" w:eastAsia="仿宋_GB2312"/>
          <w:sz w:val="28"/>
          <w:szCs w:val="28"/>
        </w:rPr>
        <w:t>2</w:t>
      </w:r>
      <w:r>
        <w:rPr>
          <w:rFonts w:hint="eastAsia" w:ascii="仿宋_GB2312" w:eastAsia="仿宋_GB2312"/>
          <w:sz w:val="28"/>
          <w:szCs w:val="28"/>
        </w:rPr>
        <w:t>辆。</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大兴区瀛海镇第一中心幼儿园不在机关运行经费统计范围之内。</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w:t>
      </w:r>
      <w:bookmarkStart w:id="14" w:name="OLE_LINK45"/>
      <w:bookmarkStart w:id="15" w:name="OLE_LINK44"/>
      <w:r>
        <w:rPr>
          <w:rFonts w:ascii="仿宋_GB2312" w:eastAsia="仿宋_GB2312"/>
          <w:sz w:val="28"/>
          <w:szCs w:val="28"/>
        </w:rPr>
        <w:t>80.42</w:t>
      </w:r>
      <w:bookmarkEnd w:id="14"/>
      <w:bookmarkEnd w:id="15"/>
      <w:r>
        <w:rPr>
          <w:rFonts w:hint="eastAsia" w:ascii="仿宋_GB2312" w:eastAsia="仿宋_GB2312"/>
          <w:sz w:val="28"/>
          <w:szCs w:val="28"/>
        </w:rPr>
        <w:t>万元，其中：政府采购货物支出0万元，政府采购工程支出0万元，政府采购服务支出80.42万元。授予中小企业合同金额</w:t>
      </w:r>
      <w:r>
        <w:rPr>
          <w:rFonts w:ascii="仿宋_GB2312" w:eastAsia="仿宋_GB2312"/>
          <w:sz w:val="28"/>
          <w:szCs w:val="28"/>
        </w:rPr>
        <w:t>79.51</w:t>
      </w:r>
      <w:r>
        <w:rPr>
          <w:rFonts w:hint="eastAsia" w:ascii="仿宋_GB2312" w:eastAsia="仿宋_GB2312"/>
          <w:sz w:val="28"/>
          <w:szCs w:val="28"/>
        </w:rPr>
        <w:t>万元，占政府采购支出总额的98.86%，其中：授予小微企业合同金额</w:t>
      </w:r>
      <w:r>
        <w:rPr>
          <w:rFonts w:ascii="仿宋_GB2312" w:eastAsia="仿宋_GB2312"/>
          <w:sz w:val="28"/>
          <w:szCs w:val="28"/>
        </w:rPr>
        <w:t>79.51</w:t>
      </w:r>
      <w:r>
        <w:rPr>
          <w:rFonts w:hint="eastAsia" w:ascii="仿宋_GB2312" w:eastAsia="仿宋_GB2312"/>
          <w:sz w:val="28"/>
          <w:szCs w:val="28"/>
        </w:rPr>
        <w:t>万元，占政府采购支出总额的</w:t>
      </w:r>
      <w:r>
        <w:rPr>
          <w:rFonts w:ascii="仿宋_GB2312" w:eastAsia="仿宋_GB2312"/>
          <w:sz w:val="28"/>
          <w:szCs w:val="28"/>
        </w:rPr>
        <w:t>98.86</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截至12月31日，北京市大兴区瀛海镇第一中心幼儿园共有车辆2台；单位价值100万元（含）以上的设备0台（套）。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700" w:firstLineChars="2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700" w:firstLineChars="2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tabs>
          <w:tab w:val="center" w:pos="6979"/>
        </w:tabs>
        <w:spacing w:before="156" w:beforeLines="50" w:after="156" w:afterLines="50"/>
        <w:ind w:firstLine="560" w:firstLineChars="200"/>
        <w:rPr>
          <w:rFonts w:ascii="仿宋_GB2312" w:eastAsia="仿宋_GB2312"/>
          <w:sz w:val="28"/>
          <w:szCs w:val="28"/>
        </w:rPr>
      </w:pPr>
      <w:r>
        <w:rPr>
          <w:rFonts w:hint="eastAsia" w:ascii="仿宋_GB2312" w:eastAsia="仿宋_GB2312"/>
          <w:sz w:val="28"/>
          <w:szCs w:val="28"/>
        </w:rPr>
        <w:t>7．教育支出（类）普通教育（款）学前教育（项）：反映各部门举办的学前教育支出。政府各部门对社会组织等举办的幼儿园的资助，如捐赠、补贴等，也在本科目中反映。</w:t>
      </w:r>
    </w:p>
    <w:p>
      <w:pPr>
        <w:tabs>
          <w:tab w:val="center" w:pos="6979"/>
        </w:tabs>
        <w:spacing w:before="156" w:beforeLines="50" w:after="156" w:afterLines="50"/>
        <w:ind w:firstLine="560" w:firstLineChars="200"/>
        <w:rPr>
          <w:rFonts w:ascii="仿宋_GB2312" w:eastAsia="仿宋_GB2312"/>
          <w:sz w:val="28"/>
          <w:szCs w:val="28"/>
        </w:rPr>
      </w:pPr>
      <w:r>
        <w:rPr>
          <w:rFonts w:hint="eastAsia" w:ascii="仿宋_GB2312" w:eastAsia="仿宋_GB2312"/>
          <w:sz w:val="28"/>
          <w:szCs w:val="28"/>
        </w:rPr>
        <w:t>8. 教育支出（类）教育费附加安排的支出（款）其他教育费附加安排的支出（项）：反映除上述项目以外的教育费附加支出。</w:t>
      </w:r>
    </w:p>
    <w:p>
      <w:pPr>
        <w:tabs>
          <w:tab w:val="center" w:pos="6979"/>
        </w:tabs>
        <w:spacing w:before="156" w:beforeLines="50" w:after="156" w:afterLines="50"/>
        <w:ind w:firstLine="560" w:firstLineChars="200"/>
        <w:rPr>
          <w:rFonts w:ascii="仿宋_GB2312" w:eastAsia="仿宋_GB2312"/>
          <w:sz w:val="28"/>
          <w:szCs w:val="28"/>
        </w:rPr>
      </w:pPr>
      <w:r>
        <w:rPr>
          <w:rFonts w:hint="eastAsia" w:ascii="仿宋_GB2312" w:eastAsia="仿宋_GB2312"/>
          <w:sz w:val="28"/>
          <w:szCs w:val="28"/>
        </w:rPr>
        <w:t>9.社会保障和就业支出（类）行政事业单位养老支出（款）机关事业单位基本养老保险缴费支出（项）：反映机关事业单位实施养老保险制度由单位缴纳的基本养老保险费支出。</w:t>
      </w:r>
    </w:p>
    <w:p>
      <w:pPr>
        <w:tabs>
          <w:tab w:val="center" w:pos="6979"/>
        </w:tabs>
        <w:spacing w:before="156" w:beforeLines="50" w:after="156" w:afterLines="50"/>
        <w:ind w:firstLine="560" w:firstLineChars="200"/>
        <w:rPr>
          <w:rFonts w:ascii="仿宋_GB2312" w:eastAsia="仿宋_GB2312"/>
          <w:sz w:val="28"/>
          <w:szCs w:val="28"/>
        </w:rPr>
      </w:pPr>
      <w:r>
        <w:rPr>
          <w:rFonts w:hint="eastAsia" w:ascii="仿宋_GB2312" w:eastAsia="仿宋_GB2312"/>
          <w:sz w:val="28"/>
          <w:szCs w:val="28"/>
        </w:rPr>
        <w:t>10. 社会保障和就业支出（类）行政事业单位养老支出（款）机关事业单位职业年金缴费支出（项）：反映机关事业单位实施养老保险制度由单位实际缴纳的职业年金支出。</w:t>
      </w:r>
    </w:p>
    <w:p>
      <w:pPr>
        <w:tabs>
          <w:tab w:val="center" w:pos="6979"/>
        </w:tabs>
        <w:spacing w:before="156" w:beforeLines="50" w:after="156" w:afterLines="50"/>
        <w:ind w:firstLine="560" w:firstLineChars="200"/>
        <w:rPr>
          <w:rFonts w:ascii="仿宋_GB2312" w:eastAsia="仿宋_GB2312"/>
          <w:sz w:val="28"/>
          <w:szCs w:val="28"/>
        </w:rPr>
      </w:pPr>
      <w:r>
        <w:rPr>
          <w:rFonts w:hint="eastAsia" w:ascii="仿宋_GB2312" w:eastAsia="仿宋_GB2312"/>
          <w:sz w:val="28"/>
          <w:szCs w:val="28"/>
        </w:rPr>
        <w:t>11.卫生健康支出（类）行政事业单位医疗（款）事业单位医疗（项）：反映财政部门安排的事业单位基本医疗保险缴费经费，未参加医疗保险的事业单位的公费医疗经费，按照国家规定享受离休人员待遇的医疗经费。</w:t>
      </w:r>
    </w:p>
    <w:p>
      <w:pPr>
        <w:ind w:firstLine="420" w:firstLineChars="150"/>
        <w:rPr>
          <w:rFonts w:ascii="仿宋_GB2312" w:eastAsia="仿宋_GB2312"/>
          <w:sz w:val="28"/>
          <w:szCs w:val="28"/>
        </w:rPr>
      </w:pPr>
      <w:r>
        <w:rPr>
          <w:rFonts w:hint="eastAsia" w:ascii="仿宋_GB2312" w:eastAsia="仿宋_GB2312"/>
          <w:sz w:val="28"/>
          <w:szCs w:val="28"/>
        </w:rPr>
        <w:t>12. 卫生健康支出（类）行政事业单位医疗（款）公务员医疗补助（项）：反映财政部门安排的公务员医疗补助经费。</w:t>
      </w:r>
    </w:p>
    <w:p>
      <w:pP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pPr>
        <w:ind w:firstLine="560" w:firstLineChars="200"/>
        <w:rPr>
          <w:rFonts w:ascii="黑体" w:eastAsia="黑体"/>
          <w:sz w:val="28"/>
          <w:szCs w:val="28"/>
          <w:highlight w:val="yellow"/>
        </w:rPr>
      </w:pPr>
    </w:p>
    <w:p>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10</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417C"/>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54782"/>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B6CE2"/>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99D"/>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3F47"/>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2832"/>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3357"/>
    <w:rsid w:val="00AC6649"/>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7635B"/>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06665"/>
    <w:rsid w:val="00D1505F"/>
    <w:rsid w:val="00D15B9F"/>
    <w:rsid w:val="00D15DD6"/>
    <w:rsid w:val="00D25548"/>
    <w:rsid w:val="00D2601F"/>
    <w:rsid w:val="00D27759"/>
    <w:rsid w:val="00D30028"/>
    <w:rsid w:val="00D325D3"/>
    <w:rsid w:val="00D36F06"/>
    <w:rsid w:val="00D408D6"/>
    <w:rsid w:val="00D511DD"/>
    <w:rsid w:val="00D55C2A"/>
    <w:rsid w:val="00D571C1"/>
    <w:rsid w:val="00D602F4"/>
    <w:rsid w:val="00D6457E"/>
    <w:rsid w:val="00D65768"/>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3742"/>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3FB036B4"/>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layout>
                <c:manualLayout>
                  <c:x val="-0.0782486505224583"/>
                  <c:y val="-0.0065354330708661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114361412370623"/>
                  <c:y val="-0.0502512800654017"/>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217399593918685"/>
                  <c:y val="0.0330820532679317"/>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69749418115188"/>
                  <c:y val="-0.10352996858999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5"/>
              <c:layout>
                <c:manualLayout>
                  <c:x val="0.147380280295152"/>
                  <c:y val="0.02215309151929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2606.11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1615.1</c:v>
                </c:pt>
                <c:pt idx="1">
                  <c:v>1119.93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631</Words>
  <Characters>3601</Characters>
  <Lines>30</Lines>
  <Paragraphs>8</Paragraphs>
  <TotalTime>0</TotalTime>
  <ScaleCrop>false</ScaleCrop>
  <LinksUpToDate>false</LinksUpToDate>
  <CharactersWithSpaces>4224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2025-11-06T07:37:14Z</dcterms:modified>
  <dc:title>北京市财政局关于做好向市人大常委会报送2015年度市级部门决算（草案）</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