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E7C" w:rsidRDefault="009D2E7C">
      <w:pPr>
        <w:jc w:val="center"/>
        <w:rPr>
          <w:rFonts w:ascii="仿宋_GB2312" w:eastAsia="仿宋_GB2312"/>
          <w:b/>
          <w:sz w:val="32"/>
          <w:szCs w:val="32"/>
        </w:rPr>
      </w:pPr>
    </w:p>
    <w:p w:rsidR="009D2E7C" w:rsidRDefault="009D2E7C">
      <w:pPr>
        <w:jc w:val="center"/>
        <w:rPr>
          <w:rFonts w:ascii="黑体" w:eastAsia="黑体"/>
          <w:sz w:val="72"/>
          <w:szCs w:val="72"/>
        </w:rPr>
      </w:pPr>
    </w:p>
    <w:p w:rsidR="009D2E7C" w:rsidRDefault="009D2E7C">
      <w:pPr>
        <w:jc w:val="center"/>
        <w:rPr>
          <w:rFonts w:ascii="黑体" w:eastAsia="黑体"/>
          <w:sz w:val="72"/>
          <w:szCs w:val="72"/>
        </w:rPr>
      </w:pPr>
    </w:p>
    <w:p w:rsidR="009D2E7C" w:rsidRDefault="009D2E7C">
      <w:pPr>
        <w:jc w:val="center"/>
        <w:rPr>
          <w:rFonts w:ascii="黑体" w:eastAsia="黑体"/>
          <w:sz w:val="72"/>
          <w:szCs w:val="72"/>
        </w:rPr>
      </w:pPr>
    </w:p>
    <w:p w:rsidR="009D2E7C" w:rsidRDefault="00C92A55">
      <w:pPr>
        <w:jc w:val="center"/>
        <w:rPr>
          <w:rFonts w:ascii="黑体" w:eastAsia="黑体"/>
          <w:sz w:val="72"/>
          <w:szCs w:val="72"/>
        </w:rPr>
      </w:pPr>
      <w:r>
        <w:rPr>
          <w:rFonts w:ascii="黑体" w:eastAsia="黑体" w:hint="eastAsia"/>
          <w:sz w:val="72"/>
          <w:szCs w:val="72"/>
        </w:rPr>
        <w:t>北京市大兴区长子营镇中心幼儿园</w:t>
      </w:r>
    </w:p>
    <w:p w:rsidR="009D2E7C" w:rsidRDefault="00C92A55">
      <w:pPr>
        <w:jc w:val="center"/>
        <w:rPr>
          <w:rFonts w:ascii="黑体" w:eastAsia="黑体"/>
          <w:sz w:val="72"/>
          <w:szCs w:val="72"/>
        </w:rPr>
      </w:pPr>
      <w:r>
        <w:rPr>
          <w:rFonts w:ascii="黑体" w:eastAsia="黑体" w:hint="eastAsia"/>
          <w:sz w:val="72"/>
          <w:szCs w:val="72"/>
        </w:rPr>
        <w:t xml:space="preserve"> 2024年度部门决算报表及说明（公开</w:t>
      </w:r>
      <w:r>
        <w:rPr>
          <w:rFonts w:ascii="黑体" w:eastAsia="黑体"/>
          <w:sz w:val="72"/>
          <w:szCs w:val="72"/>
        </w:rPr>
        <w:t>）</w:t>
      </w:r>
    </w:p>
    <w:p w:rsidR="009D2E7C" w:rsidRDefault="009D2E7C">
      <w:pPr>
        <w:jc w:val="center"/>
        <w:rPr>
          <w:rFonts w:ascii="黑体" w:eastAsia="黑体"/>
          <w:sz w:val="52"/>
          <w:szCs w:val="52"/>
        </w:rPr>
      </w:pPr>
    </w:p>
    <w:p w:rsidR="009D2E7C" w:rsidRDefault="009D2E7C">
      <w:pPr>
        <w:jc w:val="center"/>
        <w:rPr>
          <w:rFonts w:ascii="黑体" w:eastAsia="黑体"/>
          <w:sz w:val="52"/>
          <w:szCs w:val="52"/>
        </w:rPr>
      </w:pPr>
    </w:p>
    <w:p w:rsidR="009D2E7C" w:rsidRDefault="009D2E7C">
      <w:pPr>
        <w:jc w:val="center"/>
        <w:rPr>
          <w:rFonts w:ascii="黑体" w:eastAsia="黑体"/>
          <w:sz w:val="52"/>
          <w:szCs w:val="52"/>
        </w:rPr>
      </w:pPr>
    </w:p>
    <w:p w:rsidR="009D2E7C" w:rsidRDefault="009D2E7C">
      <w:pPr>
        <w:jc w:val="center"/>
        <w:rPr>
          <w:rFonts w:ascii="黑体" w:eastAsia="黑体"/>
          <w:sz w:val="52"/>
          <w:szCs w:val="52"/>
        </w:rPr>
      </w:pPr>
    </w:p>
    <w:p w:rsidR="009D2E7C" w:rsidRDefault="009D2E7C">
      <w:pPr>
        <w:jc w:val="center"/>
        <w:rPr>
          <w:rFonts w:ascii="黑体" w:eastAsia="黑体"/>
          <w:sz w:val="32"/>
          <w:szCs w:val="32"/>
        </w:rPr>
      </w:pPr>
    </w:p>
    <w:p w:rsidR="009D2E7C" w:rsidRDefault="00C92A5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9D2E7C" w:rsidRDefault="009D2E7C">
      <w:pPr>
        <w:spacing w:line="500" w:lineRule="exact"/>
        <w:ind w:firstLine="645"/>
        <w:jc w:val="center"/>
        <w:rPr>
          <w:rFonts w:ascii="宋体" w:hAnsi="宋体" w:cs="宋体"/>
          <w:b/>
          <w:bCs/>
          <w:kern w:val="0"/>
          <w:sz w:val="36"/>
          <w:szCs w:val="36"/>
        </w:rPr>
      </w:pPr>
    </w:p>
    <w:p w:rsidR="009D2E7C" w:rsidRDefault="00C92A5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9D2E7C" w:rsidRDefault="00C92A5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9D2E7C" w:rsidRDefault="00C92A5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9D2E7C" w:rsidRDefault="00C92A5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9D2E7C" w:rsidRDefault="00C92A5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9D2E7C" w:rsidRDefault="00C92A5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9D2E7C" w:rsidRDefault="00C92A5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9D2E7C" w:rsidRDefault="00C92A5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9D2E7C" w:rsidRDefault="00C92A5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9D2E7C" w:rsidRDefault="00C92A5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9D2E7C" w:rsidRDefault="00C92A5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9D2E7C" w:rsidRDefault="00C92A5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9D2E7C" w:rsidRDefault="00C92A5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9D2E7C" w:rsidRDefault="00C92A5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9D2E7C" w:rsidRDefault="00C92A5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9D2E7C" w:rsidRDefault="00C92A5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9D2E7C" w:rsidRDefault="009D2E7C">
      <w:pPr>
        <w:tabs>
          <w:tab w:val="center" w:pos="6979"/>
        </w:tabs>
        <w:spacing w:beforeLines="50" w:before="156" w:afterLines="50" w:after="156"/>
        <w:jc w:val="center"/>
        <w:rPr>
          <w:rFonts w:ascii="宋体" w:hAnsi="宋体" w:cs="宋体"/>
          <w:b/>
          <w:bCs/>
          <w:spacing w:val="40"/>
          <w:kern w:val="0"/>
          <w:sz w:val="32"/>
          <w:szCs w:val="32"/>
        </w:rPr>
      </w:pPr>
    </w:p>
    <w:p w:rsidR="009D2E7C" w:rsidRDefault="009D2E7C">
      <w:pPr>
        <w:tabs>
          <w:tab w:val="center" w:pos="6979"/>
        </w:tabs>
        <w:spacing w:beforeLines="50" w:before="156" w:afterLines="50" w:after="156"/>
        <w:jc w:val="center"/>
        <w:rPr>
          <w:rFonts w:ascii="宋体" w:hAnsi="宋体" w:cs="宋体"/>
          <w:b/>
          <w:bCs/>
          <w:spacing w:val="40"/>
          <w:kern w:val="0"/>
          <w:sz w:val="32"/>
          <w:szCs w:val="32"/>
        </w:rPr>
      </w:pPr>
    </w:p>
    <w:p w:rsidR="009D2E7C" w:rsidRDefault="009D2E7C">
      <w:pPr>
        <w:tabs>
          <w:tab w:val="center" w:pos="6979"/>
        </w:tabs>
        <w:spacing w:beforeLines="50" w:before="156" w:afterLines="50" w:after="156"/>
        <w:jc w:val="center"/>
        <w:rPr>
          <w:rFonts w:ascii="宋体" w:hAnsi="宋体" w:cs="宋体"/>
          <w:b/>
          <w:bCs/>
          <w:spacing w:val="40"/>
          <w:kern w:val="0"/>
          <w:sz w:val="32"/>
          <w:szCs w:val="32"/>
        </w:rPr>
      </w:pPr>
    </w:p>
    <w:p w:rsidR="009D2E7C" w:rsidRDefault="009D2E7C">
      <w:pPr>
        <w:tabs>
          <w:tab w:val="center" w:pos="6979"/>
        </w:tabs>
        <w:spacing w:beforeLines="50" w:before="156" w:afterLines="50" w:after="156"/>
        <w:jc w:val="center"/>
        <w:rPr>
          <w:rFonts w:ascii="宋体" w:hAnsi="宋体" w:cs="宋体"/>
          <w:b/>
          <w:bCs/>
          <w:spacing w:val="40"/>
          <w:kern w:val="0"/>
          <w:sz w:val="32"/>
          <w:szCs w:val="32"/>
        </w:rPr>
      </w:pPr>
    </w:p>
    <w:p w:rsidR="009D2E7C" w:rsidRDefault="009D2E7C">
      <w:pPr>
        <w:tabs>
          <w:tab w:val="center" w:pos="6979"/>
        </w:tabs>
        <w:spacing w:beforeLines="50" w:before="156" w:afterLines="50" w:after="156"/>
        <w:jc w:val="center"/>
        <w:rPr>
          <w:rFonts w:ascii="宋体" w:hAnsi="宋体" w:cs="宋体"/>
          <w:b/>
          <w:bCs/>
          <w:spacing w:val="40"/>
          <w:kern w:val="0"/>
          <w:sz w:val="32"/>
          <w:szCs w:val="32"/>
        </w:rPr>
      </w:pPr>
    </w:p>
    <w:p w:rsidR="009D2E7C" w:rsidRDefault="00C92A55">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9D2E7C" w:rsidRDefault="00C92A55">
      <w:pPr>
        <w:pStyle w:val="2"/>
        <w:rPr>
          <w:b w:val="0"/>
          <w:bCs w:val="0"/>
        </w:rPr>
        <w:sectPr w:rsidR="009D2E7C">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9D2E7C" w:rsidRDefault="00C92A55">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9D2E7C" w:rsidRDefault="00C92A5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9D2E7C" w:rsidRDefault="00C92A55" w:rsidP="00127BAD">
      <w:pPr>
        <w:tabs>
          <w:tab w:val="center" w:pos="6979"/>
        </w:tabs>
        <w:spacing w:line="580" w:lineRule="exact"/>
        <w:ind w:firstLineChars="202" w:firstLine="566"/>
        <w:rPr>
          <w:rFonts w:ascii="仿宋_GB2312" w:eastAsia="仿宋_GB2312"/>
          <w:kern w:val="0"/>
          <w:sz w:val="28"/>
          <w:szCs w:val="28"/>
        </w:rPr>
      </w:pPr>
      <w:r>
        <w:rPr>
          <w:rFonts w:ascii="仿宋_GB2312" w:eastAsia="仿宋_GB2312" w:hint="eastAsia"/>
          <w:kern w:val="0"/>
          <w:sz w:val="28"/>
          <w:szCs w:val="28"/>
        </w:rPr>
        <w:t>1.单位职责</w:t>
      </w:r>
      <w:r w:rsidR="00127BAD">
        <w:rPr>
          <w:rFonts w:ascii="仿宋_GB2312" w:eastAsia="仿宋_GB2312" w:hint="eastAsia"/>
          <w:kern w:val="0"/>
          <w:sz w:val="28"/>
          <w:szCs w:val="28"/>
        </w:rPr>
        <w:t>：</w:t>
      </w:r>
      <w:r>
        <w:rPr>
          <w:rFonts w:ascii="仿宋_GB2312" w:eastAsia="仿宋_GB2312" w:hint="eastAsia"/>
          <w:kern w:val="0"/>
          <w:sz w:val="28"/>
          <w:szCs w:val="28"/>
        </w:rPr>
        <w:t>为本地学龄前儿童提供优质的保育教育服务。</w:t>
      </w:r>
    </w:p>
    <w:p w:rsidR="009D2E7C" w:rsidRDefault="00C92A55" w:rsidP="00127BAD">
      <w:pPr>
        <w:tabs>
          <w:tab w:val="center" w:pos="6979"/>
        </w:tabs>
        <w:spacing w:line="580" w:lineRule="exact"/>
        <w:ind w:firstLineChars="202" w:firstLine="566"/>
        <w:rPr>
          <w:rFonts w:ascii="仿宋_GB2312" w:eastAsia="仿宋_GB2312"/>
          <w:kern w:val="0"/>
          <w:sz w:val="28"/>
          <w:szCs w:val="28"/>
        </w:rPr>
      </w:pPr>
      <w:r>
        <w:rPr>
          <w:rFonts w:ascii="仿宋_GB2312" w:eastAsia="仿宋_GB2312" w:hint="eastAsia"/>
          <w:kern w:val="0"/>
          <w:sz w:val="28"/>
          <w:szCs w:val="28"/>
        </w:rPr>
        <w:t>2.机构情况</w:t>
      </w:r>
      <w:r w:rsidR="00127BAD">
        <w:rPr>
          <w:rFonts w:ascii="仿宋_GB2312" w:eastAsia="仿宋_GB2312" w:hint="eastAsia"/>
          <w:kern w:val="0"/>
          <w:sz w:val="28"/>
          <w:szCs w:val="28"/>
        </w:rPr>
        <w:t>：</w:t>
      </w:r>
      <w:r>
        <w:rPr>
          <w:rFonts w:ascii="仿宋_GB2312" w:eastAsia="仿宋_GB2312" w:hint="eastAsia"/>
          <w:kern w:val="0"/>
          <w:sz w:val="28"/>
          <w:szCs w:val="28"/>
        </w:rPr>
        <w:t>单位内部设有园长室、书记室、行政办公室、保教室、总务室等部门</w:t>
      </w:r>
      <w:r w:rsidR="00127BAD">
        <w:rPr>
          <w:rFonts w:ascii="仿宋_GB2312" w:eastAsia="仿宋_GB2312" w:hint="eastAsia"/>
          <w:kern w:val="0"/>
          <w:sz w:val="28"/>
          <w:szCs w:val="28"/>
        </w:rPr>
        <w:t>。</w:t>
      </w:r>
    </w:p>
    <w:p w:rsidR="009D2E7C" w:rsidRDefault="00C92A55">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9D2E7C" w:rsidRDefault="00C92A5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1797.73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80.04万元，增长4.66%。</w:t>
      </w:r>
    </w:p>
    <w:p w:rsidR="009D2E7C" w:rsidRDefault="00C92A5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9D2E7C" w:rsidRDefault="00C92A5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1689.36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7.19万元，增长0.43%。</w:t>
      </w:r>
    </w:p>
    <w:p w:rsidR="009D2E7C" w:rsidRDefault="00C92A55">
      <w:pPr>
        <w:numPr>
          <w:ilvl w:val="0"/>
          <w:numId w:val="1"/>
        </w:num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财政拨款收入</w:t>
      </w:r>
      <w:r>
        <w:rPr>
          <w:rFonts w:ascii="仿宋_GB2312" w:eastAsia="仿宋_GB2312"/>
          <w:sz w:val="28"/>
          <w:szCs w:val="28"/>
        </w:rPr>
        <w:t>1689.36</w:t>
      </w:r>
      <w:r>
        <w:rPr>
          <w:rFonts w:ascii="仿宋_GB2312" w:eastAsia="仿宋_GB2312" w:hint="eastAsia"/>
          <w:sz w:val="28"/>
          <w:szCs w:val="28"/>
        </w:rPr>
        <w:t>万元，占收入合计的100%。其中：一般公共预算财政拨款收入1689.36万元，占收入合计的100%；政府性基金预算财政拨款收入0万元，占收入合计的0.00%；国有资本经营预算财政拨款收入0万元，占收入合计的0.00%；</w:t>
      </w:r>
    </w:p>
    <w:p w:rsidR="009D2E7C" w:rsidRDefault="00C92A5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9D2E7C" w:rsidRDefault="00C92A5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9D2E7C" w:rsidRDefault="00C92A5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9D2E7C" w:rsidRDefault="00C92A5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9D2E7C" w:rsidRDefault="00C92A5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9D2E7C" w:rsidRDefault="00C92A55">
      <w:pPr>
        <w:pStyle w:val="2"/>
        <w:jc w:val="center"/>
      </w:pPr>
      <w:r>
        <w:rPr>
          <w:rFonts w:ascii="仿宋_GB2312" w:eastAsia="仿宋_GB2312" w:hint="eastAsia"/>
          <w:color w:val="000000"/>
          <w:sz w:val="32"/>
        </w:rPr>
        <w:lastRenderedPageBreak/>
        <w:t>图1：收入决算</w:t>
      </w:r>
    </w:p>
    <w:p w:rsidR="009D2E7C" w:rsidRDefault="00704625">
      <w:pPr>
        <w:pStyle w:val="a3"/>
        <w:ind w:firstLine="420"/>
        <w:jc w:val="center"/>
      </w:pPr>
      <w:r>
        <w:rPr>
          <w:noProof/>
        </w:rPr>
        <w:drawing>
          <wp:inline distT="0" distB="0" distL="0" distR="0" wp14:anchorId="50682692" wp14:editId="469C9697">
            <wp:extent cx="4572000" cy="2743200"/>
            <wp:effectExtent l="0" t="0" r="0" b="0"/>
            <wp:docPr id="159637803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D2E7C" w:rsidRDefault="00C92A5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9D2E7C" w:rsidRDefault="00C92A5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1797.73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80.04万元，增长4.66%，其中：基本支出</w:t>
      </w:r>
      <w:r>
        <w:rPr>
          <w:rFonts w:ascii="仿宋_GB2312" w:eastAsia="仿宋_GB2312"/>
          <w:sz w:val="28"/>
          <w:szCs w:val="28"/>
        </w:rPr>
        <w:t>1236.43</w:t>
      </w:r>
      <w:r>
        <w:rPr>
          <w:rFonts w:ascii="仿宋_GB2312" w:eastAsia="仿宋_GB2312" w:hint="eastAsia"/>
          <w:sz w:val="28"/>
          <w:szCs w:val="28"/>
        </w:rPr>
        <w:t>万元，占支出合计的68.78%；项目支出</w:t>
      </w:r>
      <w:r>
        <w:rPr>
          <w:rFonts w:ascii="仿宋_GB2312" w:eastAsia="仿宋_GB2312"/>
          <w:sz w:val="28"/>
          <w:szCs w:val="28"/>
        </w:rPr>
        <w:t>561.3</w:t>
      </w:r>
      <w:r>
        <w:rPr>
          <w:rFonts w:ascii="仿宋_GB2312" w:eastAsia="仿宋_GB2312" w:hint="eastAsia"/>
          <w:sz w:val="28"/>
          <w:szCs w:val="28"/>
        </w:rPr>
        <w:t>万元，占支出合计的31.22%;上缴上级支出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9D2E7C" w:rsidRDefault="00C92A55">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9D2E7C" w:rsidRDefault="00397092">
      <w:pPr>
        <w:jc w:val="center"/>
        <w:rPr>
          <w:rFonts w:ascii="黑体" w:eastAsia="黑体"/>
          <w:b/>
          <w:sz w:val="28"/>
          <w:szCs w:val="28"/>
        </w:rPr>
      </w:pPr>
      <w:r>
        <w:rPr>
          <w:noProof/>
        </w:rPr>
        <w:drawing>
          <wp:inline distT="0" distB="0" distL="0" distR="0" wp14:anchorId="3815E688" wp14:editId="3B39C068">
            <wp:extent cx="5600700" cy="35433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2E7C" w:rsidRDefault="00C92A5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9D2E7C" w:rsidRDefault="00C92A5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1797.73</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80.04万元，增长4.66%。</w:t>
      </w:r>
    </w:p>
    <w:p w:rsidR="009D2E7C" w:rsidRDefault="00C92A5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w:t>
      </w:r>
    </w:p>
    <w:p w:rsidR="009D2E7C" w:rsidRDefault="00C92A5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9D2E7C" w:rsidRDefault="00C92A5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9D2E7C" w:rsidRDefault="00C92A5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2024年度一般公共预算财政拨款支出</w:t>
      </w:r>
      <w:r>
        <w:rPr>
          <w:rFonts w:ascii="仿宋_GB2312" w:eastAsia="仿宋_GB2312"/>
          <w:sz w:val="28"/>
          <w:szCs w:val="28"/>
        </w:rPr>
        <w:t>1797.73</w:t>
      </w:r>
      <w:r>
        <w:rPr>
          <w:rFonts w:ascii="仿宋_GB2312" w:eastAsia="仿宋_GB2312" w:hint="eastAsia"/>
          <w:sz w:val="28"/>
          <w:szCs w:val="28"/>
        </w:rPr>
        <w:t>万元，主要用于以下方面：教育支出1465.85万元，占本年财政拨款支出81.54%；社会保障和就业支出128.90万元，占本年财政拨款支出7.17%；卫生健康支出94.61万元，占本年财政拨款支出5.16%；住房保障支出108.37万元，占本年财政拨款支出6.13%。</w:t>
      </w:r>
    </w:p>
    <w:p w:rsidR="009D2E7C" w:rsidRDefault="00C92A5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9D2E7C" w:rsidRDefault="00C92A5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1、“教育支出”2024年度年初预算1435.80万元，2024年度决算1465.85万元，完成年初预算的102.09%。</w:t>
      </w:r>
    </w:p>
    <w:p w:rsidR="009D2E7C" w:rsidRDefault="00C92A55">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9D2E7C" w:rsidRDefault="00C92A55">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“普通教育”2024年度年初预算1435.80万元，2024年度决算1465.85万元，完成年初预算的102.09%。主要原因：由于主要是由于员额制人员增加，造成员额</w:t>
      </w:r>
      <w:proofErr w:type="gramStart"/>
      <w:r>
        <w:rPr>
          <w:rFonts w:ascii="仿宋_GB2312" w:eastAsia="仿宋_GB2312" w:hint="eastAsia"/>
          <w:sz w:val="28"/>
          <w:szCs w:val="28"/>
        </w:rPr>
        <w:t>制项目</w:t>
      </w:r>
      <w:proofErr w:type="gramEnd"/>
      <w:r>
        <w:rPr>
          <w:rFonts w:ascii="仿宋_GB2312" w:eastAsia="仿宋_GB2312" w:hint="eastAsia"/>
          <w:sz w:val="28"/>
          <w:szCs w:val="28"/>
        </w:rPr>
        <w:t>经费增加，以及社保基数、公积金基数调整等因素造成。</w:t>
      </w:r>
    </w:p>
    <w:p w:rsidR="009D2E7C" w:rsidRDefault="00C92A55">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2、“社会保障和就业支出”2024年度年初预算119.97万元，2024年度决算128.90万元，完成年初预算的107.44%。其中：</w:t>
      </w:r>
    </w:p>
    <w:p w:rsidR="009D2E7C" w:rsidRDefault="00C92A55">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“行政事业单位养老支出”2024年度年初预算119.97万元，2024年度决算128.9万元，完成年初预算的107.44%。主要原因：主要由于2024年7月份起，社会保险基数提高。</w:t>
      </w:r>
    </w:p>
    <w:p w:rsidR="009D2E7C" w:rsidRDefault="00C92A5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3、“卫生健康支出”2024年度年初预算91.48万元，2024年度决算94.61万元，完成年初预算的103.42%。</w:t>
      </w:r>
    </w:p>
    <w:p w:rsidR="009D2E7C" w:rsidRDefault="00C92A55">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9D2E7C" w:rsidRDefault="00C92A55">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“行政事业单位医疗”2024年度年初预算91.48万元，2024年度决算94.61万元，完成年初预算的103.42%。主要原因：主要由于2024年7月份起，社会保险基数提高。</w:t>
      </w:r>
    </w:p>
    <w:p w:rsidR="009D2E7C" w:rsidRPr="00A50FDF" w:rsidRDefault="00C92A55" w:rsidP="00A50FDF">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4、“住房保障支出”2024年度年初预算0万元，2024年度决算108.37万元。其中：“住房改革支出”2024年度年初预算0万元，2024年度决算108.37万元。主要原因：发放以前年度住房补贴。</w:t>
      </w:r>
    </w:p>
    <w:p w:rsidR="009D2E7C" w:rsidRDefault="00C92A55">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9D2E7C" w:rsidRDefault="00C92A55">
      <w:pPr>
        <w:spacing w:line="580" w:lineRule="exact"/>
        <w:ind w:firstLineChars="200" w:firstLine="560"/>
        <w:rPr>
          <w:rFonts w:ascii="黑体" w:eastAsia="黑体"/>
          <w:b/>
          <w:sz w:val="28"/>
          <w:szCs w:val="28"/>
        </w:rPr>
      </w:pPr>
      <w:bookmarkStart w:id="0" w:name="OLE_LINK1"/>
      <w:bookmarkStart w:id="1" w:name="OLE_LINK2"/>
      <w:r>
        <w:rPr>
          <w:rFonts w:ascii="仿宋_GB2312" w:eastAsia="仿宋_GB2312" w:hint="eastAsia"/>
          <w:sz w:val="28"/>
          <w:szCs w:val="28"/>
        </w:rPr>
        <w:t>本单位2024年度无政府性基金预算财政拨款安排的支出。</w:t>
      </w:r>
    </w:p>
    <w:bookmarkEnd w:id="0"/>
    <w:bookmarkEnd w:id="1"/>
    <w:p w:rsidR="009D2E7C" w:rsidRDefault="00C92A55">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A50FDF" w:rsidRDefault="00A50FDF">
      <w:pPr>
        <w:ind w:firstLineChars="192" w:firstLine="538"/>
        <w:rPr>
          <w:rFonts w:ascii="仿宋_GB2312" w:eastAsia="仿宋_GB2312"/>
          <w:sz w:val="28"/>
          <w:szCs w:val="28"/>
        </w:rPr>
      </w:pPr>
      <w:r w:rsidRPr="00A50FDF">
        <w:rPr>
          <w:rFonts w:ascii="仿宋_GB2312" w:eastAsia="仿宋_GB2312" w:hint="eastAsia"/>
          <w:sz w:val="28"/>
          <w:szCs w:val="28"/>
        </w:rPr>
        <w:t>本单位2024年度</w:t>
      </w:r>
      <w:r>
        <w:rPr>
          <w:rFonts w:ascii="仿宋_GB2312" w:eastAsia="仿宋_GB2312" w:hint="eastAsia"/>
          <w:sz w:val="28"/>
          <w:szCs w:val="28"/>
        </w:rPr>
        <w:t>无</w:t>
      </w:r>
      <w:r>
        <w:rPr>
          <w:rFonts w:ascii="仿宋_GB2312" w:eastAsia="仿宋_GB2312" w:hint="eastAsia"/>
          <w:sz w:val="28"/>
          <w:szCs w:val="28"/>
        </w:rPr>
        <w:t>国有资本经营预算财政拨款</w:t>
      </w:r>
      <w:r>
        <w:rPr>
          <w:rFonts w:ascii="仿宋_GB2312" w:eastAsia="仿宋_GB2312" w:hint="eastAsia"/>
          <w:sz w:val="28"/>
          <w:szCs w:val="28"/>
        </w:rPr>
        <w:t>安排</w:t>
      </w:r>
      <w:r w:rsidRPr="00A50FDF">
        <w:rPr>
          <w:rFonts w:ascii="仿宋_GB2312" w:eastAsia="仿宋_GB2312" w:hint="eastAsia"/>
          <w:sz w:val="28"/>
          <w:szCs w:val="28"/>
        </w:rPr>
        <w:t>的支出。</w:t>
      </w:r>
      <w:bookmarkStart w:id="2" w:name="_GoBack"/>
      <w:bookmarkEnd w:id="2"/>
    </w:p>
    <w:p w:rsidR="009D2E7C" w:rsidRDefault="00C92A55">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9D2E7C" w:rsidRDefault="00C92A5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1236.43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9D2E7C" w:rsidRDefault="00C92A55">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9D2E7C" w:rsidRDefault="00C92A55">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9D2E7C" w:rsidRDefault="00C92A55">
      <w:pPr>
        <w:spacing w:line="560" w:lineRule="exact"/>
        <w:ind w:firstLineChars="200" w:firstLine="560"/>
        <w:rPr>
          <w:rFonts w:ascii="黑体" w:eastAsia="黑体"/>
          <w:sz w:val="28"/>
          <w:szCs w:val="28"/>
        </w:rPr>
      </w:pPr>
      <w:r>
        <w:rPr>
          <w:rFonts w:ascii="黑体" w:eastAsia="黑体" w:hint="eastAsia"/>
          <w:sz w:val="28"/>
          <w:szCs w:val="28"/>
        </w:rPr>
        <w:lastRenderedPageBreak/>
        <w:t>一、“三公”经费财政拨款决算情况</w:t>
      </w:r>
    </w:p>
    <w:p w:rsidR="009D2E7C" w:rsidRDefault="00C92A55">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0.68</w:t>
      </w:r>
      <w:r>
        <w:rPr>
          <w:rFonts w:ascii="仿宋_GB2312" w:eastAsia="仿宋_GB2312" w:hint="eastAsia"/>
          <w:sz w:val="28"/>
          <w:szCs w:val="28"/>
        </w:rPr>
        <w:t>万元，比2024年度“三公”经费财政拨款年初预算</w:t>
      </w:r>
      <w:r>
        <w:rPr>
          <w:rFonts w:ascii="仿宋_GB2312" w:eastAsia="仿宋_GB2312"/>
          <w:sz w:val="28"/>
          <w:szCs w:val="28"/>
        </w:rPr>
        <w:t>3.2</w:t>
      </w:r>
      <w:r>
        <w:rPr>
          <w:rFonts w:ascii="仿宋_GB2312" w:eastAsia="仿宋_GB2312" w:hint="eastAsia"/>
          <w:sz w:val="28"/>
          <w:szCs w:val="28"/>
        </w:rPr>
        <w:t>万元减少</w:t>
      </w:r>
      <w:r>
        <w:rPr>
          <w:rFonts w:ascii="仿宋_GB2312" w:eastAsia="仿宋_GB2312"/>
          <w:sz w:val="28"/>
          <w:szCs w:val="28"/>
        </w:rPr>
        <w:t>X</w:t>
      </w:r>
      <w:r>
        <w:rPr>
          <w:rFonts w:ascii="仿宋_GB2312" w:eastAsia="仿宋_GB2312" w:hint="eastAsia"/>
          <w:sz w:val="28"/>
          <w:szCs w:val="28"/>
        </w:rPr>
        <w:t>2.52万元。其中：</w:t>
      </w:r>
    </w:p>
    <w:p w:rsidR="009D2E7C" w:rsidRDefault="00C92A55">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万元，比2024年度年初预算数0万元增加（减少）0万元。主要原因：因公出国(境)费用根据年度出国审批情况作为追加项目管理，单位不做年初预算，本年也没有出国审批项目发生；2024年度因公出国（境）费用主要用于出国的会议、培训等事项，2024年度组织因公出国（境）团组0个、0人次。</w:t>
      </w:r>
    </w:p>
    <w:p w:rsidR="009D2E7C" w:rsidRDefault="00C92A55">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2..公务接待费。2024年度决算数0万元，比2024年度年初预算数0.5万元减少0.5万元。主要原因：本年度无此项支出。2024年度公务接待0批次，公务接待0人次。</w:t>
      </w:r>
    </w:p>
    <w:p w:rsidR="009D2E7C" w:rsidRDefault="00C92A55">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0.68万元，比2024年度年初预算数2.7万元减少2.02万元。其中，公务用车购置费2024年度决算数0万元，主要原因：本年度无此项支出，2024年度购置0辆。公务用车运行维护费2024年度决算数0.68万元，主要原因：厉行节约、严格管理，按照实际使用支出核算的。</w:t>
      </w:r>
      <w:proofErr w:type="gramStart"/>
      <w:r>
        <w:rPr>
          <w:rFonts w:ascii="仿宋_GB2312" w:eastAsia="仿宋_GB2312" w:hint="eastAsia"/>
          <w:sz w:val="28"/>
          <w:szCs w:val="28"/>
        </w:rPr>
        <w:t>22024</w:t>
      </w:r>
      <w:proofErr w:type="gramEnd"/>
      <w:r>
        <w:rPr>
          <w:rFonts w:ascii="仿宋_GB2312" w:eastAsia="仿宋_GB2312" w:hint="eastAsia"/>
          <w:sz w:val="28"/>
          <w:szCs w:val="28"/>
        </w:rPr>
        <w:t>年度公务用车保有量</w:t>
      </w:r>
      <w:r>
        <w:rPr>
          <w:rFonts w:ascii="仿宋_GB2312" w:eastAsia="仿宋_GB2312"/>
          <w:sz w:val="28"/>
          <w:szCs w:val="28"/>
        </w:rPr>
        <w:t>1</w:t>
      </w:r>
      <w:r>
        <w:rPr>
          <w:rFonts w:ascii="仿宋_GB2312" w:eastAsia="仿宋_GB2312" w:hint="eastAsia"/>
          <w:sz w:val="28"/>
          <w:szCs w:val="28"/>
        </w:rPr>
        <w:t>辆。</w:t>
      </w:r>
    </w:p>
    <w:p w:rsidR="009D2E7C" w:rsidRDefault="00C92A5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9D2E7C" w:rsidRDefault="00C92A55">
      <w:pPr>
        <w:ind w:firstLineChars="192" w:firstLine="538"/>
        <w:rPr>
          <w:rFonts w:ascii="仿宋_GB2312" w:eastAsia="仿宋_GB2312"/>
          <w:sz w:val="28"/>
          <w:szCs w:val="28"/>
        </w:rPr>
      </w:pPr>
      <w:r>
        <w:rPr>
          <w:rFonts w:ascii="仿宋_GB2312" w:eastAsia="仿宋_GB2312" w:hint="eastAsia"/>
          <w:sz w:val="28"/>
          <w:szCs w:val="28"/>
        </w:rPr>
        <w:t>2024年度机关运行经费支出合计0万元。</w:t>
      </w:r>
    </w:p>
    <w:p w:rsidR="009D2E7C" w:rsidRDefault="00C92A55">
      <w:pPr>
        <w:ind w:left="540"/>
        <w:rPr>
          <w:rFonts w:ascii="黑体" w:eastAsia="黑体"/>
          <w:sz w:val="28"/>
          <w:szCs w:val="28"/>
        </w:rPr>
      </w:pPr>
      <w:r>
        <w:rPr>
          <w:rFonts w:ascii="黑体" w:eastAsia="黑体" w:hint="eastAsia"/>
          <w:sz w:val="28"/>
          <w:szCs w:val="28"/>
        </w:rPr>
        <w:t>三、政府采购支出情况</w:t>
      </w:r>
    </w:p>
    <w:p w:rsidR="009D2E7C" w:rsidRDefault="00C92A55">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65.77</w:t>
      </w:r>
      <w:r>
        <w:rPr>
          <w:rFonts w:ascii="仿宋_GB2312" w:eastAsia="仿宋_GB2312" w:hint="eastAsia"/>
          <w:sz w:val="28"/>
          <w:szCs w:val="28"/>
        </w:rPr>
        <w:t>万元，其中：政府采购货物支出0.80万元，政府采购工程支出0万元，政府采</w:t>
      </w:r>
      <w:r>
        <w:rPr>
          <w:rFonts w:ascii="仿宋_GB2312" w:eastAsia="仿宋_GB2312" w:hint="eastAsia"/>
          <w:sz w:val="28"/>
          <w:szCs w:val="28"/>
        </w:rPr>
        <w:lastRenderedPageBreak/>
        <w:t>购服务支出64.98万元。授予中小企业合同金额</w:t>
      </w:r>
      <w:r>
        <w:rPr>
          <w:rFonts w:ascii="仿宋_GB2312" w:eastAsia="仿宋_GB2312"/>
          <w:sz w:val="28"/>
          <w:szCs w:val="28"/>
        </w:rPr>
        <w:t>65.77</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65.77</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p>
    <w:p w:rsidR="009D2E7C" w:rsidRDefault="00C92A5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9D2E7C" w:rsidRDefault="00C92A55">
      <w:pPr>
        <w:ind w:firstLineChars="200" w:firstLine="560"/>
        <w:rPr>
          <w:rFonts w:ascii="仿宋_GB2312" w:eastAsia="仿宋_GB2312"/>
          <w:sz w:val="32"/>
          <w:szCs w:val="32"/>
        </w:rPr>
      </w:pPr>
      <w:r>
        <w:rPr>
          <w:rFonts w:ascii="仿宋_GB2312" w:eastAsia="仿宋_GB2312" w:hint="eastAsia"/>
          <w:sz w:val="28"/>
          <w:szCs w:val="28"/>
        </w:rPr>
        <w:t>截至12月31日，北京市大兴区长子营镇中心幼儿园共有车辆1台；单位价值100万元（含）以上的设备2台（套）。</w:t>
      </w:r>
    </w:p>
    <w:p w:rsidR="009D2E7C" w:rsidRDefault="00C92A55">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9D2E7C" w:rsidRDefault="00C92A55">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9D2E7C" w:rsidRDefault="00C92A5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9D2E7C" w:rsidRDefault="00C92A55">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9D2E7C" w:rsidRDefault="00C92A55">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9D2E7C" w:rsidRDefault="00C92A55">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9D2E7C" w:rsidRDefault="00C92A55">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w:t>
      </w:r>
      <w:r>
        <w:rPr>
          <w:rFonts w:ascii="仿宋_GB2312" w:eastAsia="仿宋_GB2312" w:hAnsi="宋体" w:hint="eastAsia"/>
          <w:sz w:val="28"/>
          <w:szCs w:val="28"/>
        </w:rPr>
        <w:lastRenderedPageBreak/>
        <w:t>用房取暖费、办公用房物业管理费、公务用车运行维护费以及其他费用。</w:t>
      </w:r>
    </w:p>
    <w:p w:rsidR="009D2E7C" w:rsidRDefault="00C92A5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9D2E7C" w:rsidRDefault="00C92A5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9D2E7C" w:rsidRDefault="00C92A55">
      <w:pPr>
        <w:ind w:firstLineChars="200" w:firstLine="560"/>
        <w:rPr>
          <w:rFonts w:ascii="仿宋_GB2312" w:eastAsia="仿宋_GB2312"/>
          <w:sz w:val="28"/>
          <w:szCs w:val="28"/>
        </w:rPr>
      </w:pPr>
      <w:r>
        <w:rPr>
          <w:rFonts w:ascii="仿宋_GB2312" w:eastAsia="仿宋_GB2312" w:hint="eastAsia"/>
          <w:sz w:val="28"/>
          <w:szCs w:val="28"/>
        </w:rPr>
        <w:t>7. 教育支出（类）普通教育（款）学前教育（项）：反映各部门举办的学前教育支出。政府各部门对社会组织等举办的幼儿园的资助，如捐赠、补贴等，也在本科目中反映。</w:t>
      </w:r>
    </w:p>
    <w:p w:rsidR="009D2E7C" w:rsidRDefault="00C92A55">
      <w:pPr>
        <w:tabs>
          <w:tab w:val="center" w:pos="6979"/>
        </w:tabs>
        <w:spacing w:beforeLines="50" w:before="156" w:afterLines="50" w:after="156"/>
        <w:ind w:firstLineChars="200" w:firstLine="560"/>
        <w:rPr>
          <w:rFonts w:ascii="仿宋_GB2312" w:eastAsia="仿宋_GB2312"/>
          <w:sz w:val="28"/>
          <w:szCs w:val="28"/>
        </w:rPr>
      </w:pPr>
      <w:r>
        <w:rPr>
          <w:rFonts w:ascii="仿宋_GB2312" w:eastAsia="仿宋_GB2312" w:hint="eastAsia"/>
          <w:sz w:val="28"/>
          <w:szCs w:val="28"/>
        </w:rPr>
        <w:t>8.社会保障和就业支出（类）行政事业单位养老支出（款）机关事业单位基本养老保险缴费支出（项）：反映机关事业单位实施养老保险制度由单位缴纳的基本养老保险费支出。</w:t>
      </w:r>
    </w:p>
    <w:p w:rsidR="009D2E7C" w:rsidRDefault="00C92A55">
      <w:pPr>
        <w:tabs>
          <w:tab w:val="center" w:pos="6979"/>
        </w:tabs>
        <w:spacing w:beforeLines="50" w:before="156" w:afterLines="50" w:after="156"/>
        <w:ind w:firstLineChars="200" w:firstLine="560"/>
        <w:rPr>
          <w:rFonts w:ascii="仿宋_GB2312" w:eastAsia="仿宋_GB2312"/>
          <w:sz w:val="28"/>
          <w:szCs w:val="28"/>
        </w:rPr>
      </w:pPr>
      <w:r>
        <w:rPr>
          <w:rFonts w:ascii="仿宋_GB2312" w:eastAsia="仿宋_GB2312" w:hint="eastAsia"/>
          <w:sz w:val="28"/>
          <w:szCs w:val="28"/>
        </w:rPr>
        <w:t>9.社会保障和就业支出（类）行政事业单位养老支出（款）机关事业单位职业年金缴费支出（项）:反映机关事业单位实施养老保险制度由单位实际缴纳的职业年金支出。</w:t>
      </w:r>
    </w:p>
    <w:p w:rsidR="009D2E7C" w:rsidRDefault="00C92A55">
      <w:pPr>
        <w:tabs>
          <w:tab w:val="center" w:pos="6979"/>
        </w:tabs>
        <w:spacing w:beforeLines="50" w:before="156" w:afterLines="50" w:after="156"/>
        <w:ind w:firstLineChars="200" w:firstLine="560"/>
        <w:rPr>
          <w:rFonts w:ascii="仿宋_GB2312" w:eastAsia="仿宋_GB2312"/>
          <w:sz w:val="28"/>
          <w:szCs w:val="28"/>
        </w:rPr>
      </w:pPr>
      <w:r>
        <w:rPr>
          <w:rFonts w:ascii="仿宋_GB2312" w:eastAsia="仿宋_GB2312" w:hint="eastAsia"/>
          <w:sz w:val="28"/>
          <w:szCs w:val="28"/>
        </w:rPr>
        <w:t>10.卫生健康支出（类）行政事业单位医疗（款）事业单位医疗（项）:反映财政部门安排的事业单位基本医疗保险缴费经费，未参加医疗保险的事业单位的公费医疗经费，按国家规定享受离休人员待遇的医疗经费。</w:t>
      </w:r>
    </w:p>
    <w:p w:rsidR="009D2E7C" w:rsidRDefault="00C92A55">
      <w:pPr>
        <w:tabs>
          <w:tab w:val="center" w:pos="6979"/>
        </w:tabs>
        <w:spacing w:beforeLines="50" w:before="156" w:afterLines="50" w:after="156"/>
        <w:ind w:firstLineChars="200" w:firstLine="560"/>
        <w:rPr>
          <w:rFonts w:ascii="仿宋_GB2312" w:eastAsia="仿宋_GB2312"/>
          <w:sz w:val="28"/>
          <w:szCs w:val="28"/>
        </w:rPr>
      </w:pPr>
      <w:r>
        <w:rPr>
          <w:rFonts w:ascii="仿宋_GB2312" w:eastAsia="仿宋_GB2312" w:hint="eastAsia"/>
          <w:sz w:val="28"/>
          <w:szCs w:val="28"/>
        </w:rPr>
        <w:t>11.卫生健康支出（类）行政事业单位医疗（款）公务员医疗补助（项）:反映财政部门安排的公务员医疗补助经费。</w:t>
      </w:r>
    </w:p>
    <w:p w:rsidR="009D2E7C" w:rsidRDefault="009D2E7C">
      <w:pPr>
        <w:rPr>
          <w:rFonts w:ascii="黑体" w:eastAsia="黑体"/>
          <w:sz w:val="32"/>
          <w:szCs w:val="32"/>
        </w:rPr>
      </w:pPr>
    </w:p>
    <w:p w:rsidR="009D2E7C" w:rsidRDefault="009D2E7C">
      <w:pPr>
        <w:rPr>
          <w:rFonts w:ascii="黑体" w:eastAsia="黑体"/>
          <w:sz w:val="32"/>
          <w:szCs w:val="32"/>
        </w:rPr>
      </w:pPr>
    </w:p>
    <w:p w:rsidR="009D2E7C" w:rsidRDefault="00C92A55">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9D2E7C" w:rsidRDefault="009D2E7C">
      <w:pPr>
        <w:ind w:firstLineChars="200" w:firstLine="560"/>
        <w:rPr>
          <w:rFonts w:ascii="黑体" w:eastAsia="黑体"/>
          <w:sz w:val="28"/>
          <w:szCs w:val="28"/>
          <w:highlight w:val="yellow"/>
        </w:rPr>
      </w:pPr>
    </w:p>
    <w:p w:rsidR="009D2E7C" w:rsidRDefault="00C92A55">
      <w:pPr>
        <w:rPr>
          <w:rFonts w:ascii="黑体" w:eastAsia="黑体"/>
          <w:sz w:val="28"/>
          <w:szCs w:val="28"/>
        </w:rPr>
      </w:pPr>
      <w:r>
        <w:rPr>
          <w:rFonts w:ascii="黑体" w:eastAsia="黑体" w:hint="eastAsia"/>
          <w:sz w:val="28"/>
          <w:szCs w:val="28"/>
        </w:rPr>
        <w:t xml:space="preserve">  三、项目</w:t>
      </w:r>
      <w:r>
        <w:rPr>
          <w:rFonts w:ascii="黑体" w:eastAsia="黑体"/>
          <w:sz w:val="28"/>
          <w:szCs w:val="28"/>
        </w:rPr>
        <w:t>支出绩效自评表</w:t>
      </w:r>
      <w:r>
        <w:rPr>
          <w:rFonts w:ascii="黑体" w:eastAsia="黑体" w:hint="eastAsia"/>
          <w:sz w:val="28"/>
          <w:szCs w:val="28"/>
        </w:rPr>
        <w:t>（详见附件）</w:t>
      </w:r>
    </w:p>
    <w:p w:rsidR="009D2E7C" w:rsidRDefault="00C92A55">
      <w:pPr>
        <w:spacing w:line="480" w:lineRule="exact"/>
      </w:pPr>
      <w:r>
        <w:rPr>
          <w:rFonts w:ascii="黑体" w:eastAsia="黑体" w:hint="eastAsia"/>
          <w:sz w:val="28"/>
          <w:szCs w:val="28"/>
        </w:rPr>
        <w:t xml:space="preserve"> </w:t>
      </w:r>
    </w:p>
    <w:sectPr w:rsidR="009D2E7C">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55C" w:rsidRDefault="00BE155C">
      <w:r>
        <w:separator/>
      </w:r>
    </w:p>
  </w:endnote>
  <w:endnote w:type="continuationSeparator" w:id="0">
    <w:p w:rsidR="00BE155C" w:rsidRDefault="00BE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E7C" w:rsidRDefault="00C92A55">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9D2E7C" w:rsidRDefault="009D2E7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E7C" w:rsidRDefault="00C92A55">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9D2E7C" w:rsidRDefault="009D2E7C">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E7C" w:rsidRDefault="00C92A55">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9D2E7C" w:rsidRDefault="009D2E7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55C" w:rsidRDefault="00BE155C">
      <w:r>
        <w:separator/>
      </w:r>
    </w:p>
  </w:footnote>
  <w:footnote w:type="continuationSeparator" w:id="0">
    <w:p w:rsidR="00BE155C" w:rsidRDefault="00BE15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CCACB4"/>
    <w:multiLevelType w:val="singleLevel"/>
    <w:tmpl w:val="68CCACB4"/>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7BAD"/>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97092"/>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65BB5"/>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2546"/>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625"/>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2E7C"/>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0FDF"/>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141E"/>
    <w:rsid w:val="00BC2220"/>
    <w:rsid w:val="00BC26B9"/>
    <w:rsid w:val="00BC26FA"/>
    <w:rsid w:val="00BC4E01"/>
    <w:rsid w:val="00BC73F6"/>
    <w:rsid w:val="00BD1177"/>
    <w:rsid w:val="00BD1374"/>
    <w:rsid w:val="00BD3531"/>
    <w:rsid w:val="00BD4E35"/>
    <w:rsid w:val="00BE155C"/>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A55"/>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D137A9A"/>
    <w:rsid w:val="2EFFE297"/>
    <w:rsid w:val="301437CA"/>
    <w:rsid w:val="349D1F0A"/>
    <w:rsid w:val="34DD0473"/>
    <w:rsid w:val="3A8E35DC"/>
    <w:rsid w:val="3C684897"/>
    <w:rsid w:val="433E495C"/>
    <w:rsid w:val="489F2FD7"/>
    <w:rsid w:val="4AC27CB3"/>
    <w:rsid w:val="4BF72BEF"/>
    <w:rsid w:val="4FA90297"/>
    <w:rsid w:val="4FC41A43"/>
    <w:rsid w:val="51DB3C59"/>
    <w:rsid w:val="524A404E"/>
    <w:rsid w:val="550C0952"/>
    <w:rsid w:val="55762E42"/>
    <w:rsid w:val="57A7B272"/>
    <w:rsid w:val="58470068"/>
    <w:rsid w:val="58747CAC"/>
    <w:rsid w:val="5A1720F9"/>
    <w:rsid w:val="5B9C37C2"/>
    <w:rsid w:val="5BA7C654"/>
    <w:rsid w:val="5C073D2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5D933FD0"/>
  <w15:docId w15:val="{85867128-4503-4044-9060-0FE03C17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H:\&#20915;&#31639;&#33609;&#26696;&#32534;&#25253;\&#39292;&#29366;&#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收入决算</a:t>
            </a:r>
          </a:p>
        </c:rich>
      </c:tx>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C02B-4AFB-8B44-557D5EF5D61B}"/>
              </c:ext>
            </c:extLst>
          </c:dPt>
          <c:dPt>
            <c:idx val="1"/>
            <c:bubble3D val="0"/>
            <c:spPr>
              <a:solidFill>
                <a:schemeClr val="accent2"/>
              </a:solidFill>
              <a:ln>
                <a:noFill/>
              </a:ln>
              <a:effectLst/>
            </c:spPr>
            <c:extLst>
              <c:ext xmlns:c16="http://schemas.microsoft.com/office/drawing/2014/chart" uri="{C3380CC4-5D6E-409C-BE32-E72D297353CC}">
                <c16:uniqueId val="{00000003-C02B-4AFB-8B44-557D5EF5D61B}"/>
              </c:ext>
            </c:extLst>
          </c:dPt>
          <c:dPt>
            <c:idx val="2"/>
            <c:bubble3D val="0"/>
            <c:spPr>
              <a:solidFill>
                <a:schemeClr val="accent3"/>
              </a:solidFill>
              <a:ln>
                <a:noFill/>
              </a:ln>
              <a:effectLst/>
            </c:spPr>
            <c:extLst>
              <c:ext xmlns:c16="http://schemas.microsoft.com/office/drawing/2014/chart" uri="{C3380CC4-5D6E-409C-BE32-E72D297353CC}">
                <c16:uniqueId val="{00000005-C02B-4AFB-8B44-557D5EF5D61B}"/>
              </c:ext>
            </c:extLst>
          </c:dPt>
          <c:dPt>
            <c:idx val="3"/>
            <c:bubble3D val="0"/>
            <c:spPr>
              <a:solidFill>
                <a:schemeClr val="accent4"/>
              </a:solidFill>
              <a:ln>
                <a:noFill/>
              </a:ln>
              <a:effectLst/>
            </c:spPr>
            <c:extLst>
              <c:ext xmlns:c16="http://schemas.microsoft.com/office/drawing/2014/chart" uri="{C3380CC4-5D6E-409C-BE32-E72D297353CC}">
                <c16:uniqueId val="{00000007-C02B-4AFB-8B44-557D5EF5D61B}"/>
              </c:ext>
            </c:extLst>
          </c:dPt>
          <c:dPt>
            <c:idx val="4"/>
            <c:bubble3D val="0"/>
            <c:spPr>
              <a:solidFill>
                <a:schemeClr val="accent5"/>
              </a:solidFill>
              <a:ln>
                <a:noFill/>
              </a:ln>
              <a:effectLst/>
            </c:spPr>
            <c:extLst>
              <c:ext xmlns:c16="http://schemas.microsoft.com/office/drawing/2014/chart" uri="{C3380CC4-5D6E-409C-BE32-E72D297353CC}">
                <c16:uniqueId val="{00000009-C02B-4AFB-8B44-557D5EF5D61B}"/>
              </c:ext>
            </c:extLst>
          </c:dPt>
          <c:dPt>
            <c:idx val="5"/>
            <c:bubble3D val="0"/>
            <c:spPr>
              <a:solidFill>
                <a:schemeClr val="accent6"/>
              </a:solidFill>
              <a:ln>
                <a:noFill/>
              </a:ln>
              <a:effectLst/>
            </c:spPr>
            <c:extLst>
              <c:ext xmlns:c16="http://schemas.microsoft.com/office/drawing/2014/chart" uri="{C3380CC4-5D6E-409C-BE32-E72D297353CC}">
                <c16:uniqueId val="{0000000B-C02B-4AFB-8B44-557D5EF5D61B}"/>
              </c:ext>
            </c:extLst>
          </c:dPt>
          <c:dLbls>
            <c:dLbl>
              <c:idx val="0"/>
              <c:layout>
                <c:manualLayout>
                  <c:x val="1.4582239720035001E-2"/>
                  <c:y val="-0.17275335374744799"/>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C02B-4AFB-8B44-557D5EF5D61B}"/>
                </c:ext>
              </c:extLst>
            </c:dLbl>
            <c:dLbl>
              <c:idx val="1"/>
              <c:layout>
                <c:manualLayout>
                  <c:x val="-0.167709317585302"/>
                  <c:y val="-2.2968066491688501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C02B-4AFB-8B44-557D5EF5D61B}"/>
                </c:ext>
              </c:extLst>
            </c:dLbl>
            <c:dLbl>
              <c:idx val="2"/>
              <c:layout>
                <c:manualLayout>
                  <c:x val="-0.26597331583552097"/>
                  <c:y val="3.8096748323126303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C02B-4AFB-8B44-557D5EF5D61B}"/>
                </c:ext>
              </c:extLst>
            </c:dLbl>
            <c:dLbl>
              <c:idx val="3"/>
              <c:layout>
                <c:manualLayout>
                  <c:x val="-0.158681539807524"/>
                  <c:y val="8.0041192767570699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7-C02B-4AFB-8B44-557D5EF5D61B}"/>
                </c:ext>
              </c:extLst>
            </c:dLbl>
            <c:dLbl>
              <c:idx val="4"/>
              <c:layout>
                <c:manualLayout>
                  <c:x val="0.190276902887139"/>
                  <c:y val="0.140226377952756"/>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9-C02B-4AFB-8B44-557D5EF5D61B}"/>
                </c:ext>
              </c:extLst>
            </c:dLbl>
            <c:dLbl>
              <c:idx val="5"/>
              <c:layout>
                <c:manualLayout>
                  <c:x val="0.16458245844269501"/>
                  <c:y val="-3.5699547973170001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B-C02B-4AFB-8B44-557D5EF5D61B}"/>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Sheet1!$G$11:$L$11</c:f>
              <c:strCache>
                <c:ptCount val="6"/>
                <c:pt idx="0">
                  <c:v>财政拨款收入</c:v>
                </c:pt>
                <c:pt idx="1">
                  <c:v>上级补助收入</c:v>
                </c:pt>
                <c:pt idx="2">
                  <c:v>事业收入</c:v>
                </c:pt>
                <c:pt idx="3">
                  <c:v>经营收入</c:v>
                </c:pt>
                <c:pt idx="4">
                  <c:v>附属单位上缴收入</c:v>
                </c:pt>
                <c:pt idx="5">
                  <c:v>其他收入</c:v>
                </c:pt>
              </c:strCache>
            </c:strRef>
          </c:cat>
          <c:val>
            <c:numRef>
              <c:f>Sheet1!$G$12:$L$12</c:f>
              <c:numCache>
                <c:formatCode>General</c:formatCode>
                <c:ptCount val="6"/>
                <c:pt idx="0">
                  <c:v>1689.36</c:v>
                </c:pt>
                <c:pt idx="1">
                  <c:v>0</c:v>
                </c:pt>
                <c:pt idx="2">
                  <c:v>0</c:v>
                </c:pt>
                <c:pt idx="3">
                  <c:v>0</c:v>
                </c:pt>
                <c:pt idx="4">
                  <c:v>0</c:v>
                </c:pt>
                <c:pt idx="5">
                  <c:v>0</c:v>
                </c:pt>
              </c:numCache>
            </c:numRef>
          </c:val>
          <c:extLst>
            <c:ext xmlns:c16="http://schemas.microsoft.com/office/drawing/2014/chart" uri="{C3380CC4-5D6E-409C-BE32-E72D297353CC}">
              <c16:uniqueId val="{0000000C-C02B-4AFB-8B44-557D5EF5D61B}"/>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extLst>
      <c:ext uri="{0b15fc19-7d7d-44ad-8c2d-2c3a37ce22c3}">
        <chartProps xmlns="https://web.wps.cn/et/2018/main" chartId="{ea0c0333-b73a-4066-ad95-7451ff438ffd}"/>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支出决算</a:t>
            </a:r>
          </a:p>
        </c:rich>
      </c:tx>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DD99-47DD-96BD-81B3BA3F3771}"/>
              </c:ext>
            </c:extLst>
          </c:dPt>
          <c:dPt>
            <c:idx val="1"/>
            <c:bubble3D val="0"/>
            <c:spPr>
              <a:solidFill>
                <a:schemeClr val="accent2"/>
              </a:solidFill>
              <a:ln>
                <a:noFill/>
              </a:ln>
              <a:effectLst/>
            </c:spPr>
            <c:extLst>
              <c:ext xmlns:c16="http://schemas.microsoft.com/office/drawing/2014/chart" uri="{C3380CC4-5D6E-409C-BE32-E72D297353CC}">
                <c16:uniqueId val="{00000003-DD99-47DD-96BD-81B3BA3F3771}"/>
              </c:ext>
            </c:extLst>
          </c:dPt>
          <c:dPt>
            <c:idx val="2"/>
            <c:bubble3D val="0"/>
            <c:spPr>
              <a:solidFill>
                <a:schemeClr val="accent3"/>
              </a:solidFill>
              <a:ln>
                <a:noFill/>
              </a:ln>
              <a:effectLst/>
            </c:spPr>
            <c:extLst>
              <c:ext xmlns:c16="http://schemas.microsoft.com/office/drawing/2014/chart" uri="{C3380CC4-5D6E-409C-BE32-E72D297353CC}">
                <c16:uniqueId val="{00000005-DD99-47DD-96BD-81B3BA3F3771}"/>
              </c:ext>
            </c:extLst>
          </c:dPt>
          <c:dPt>
            <c:idx val="3"/>
            <c:bubble3D val="0"/>
            <c:spPr>
              <a:solidFill>
                <a:schemeClr val="accent4"/>
              </a:solidFill>
              <a:ln>
                <a:noFill/>
              </a:ln>
              <a:effectLst/>
            </c:spPr>
            <c:extLst>
              <c:ext xmlns:c16="http://schemas.microsoft.com/office/drawing/2014/chart" uri="{C3380CC4-5D6E-409C-BE32-E72D297353CC}">
                <c16:uniqueId val="{00000007-DD99-47DD-96BD-81B3BA3F3771}"/>
              </c:ext>
            </c:extLst>
          </c:dPt>
          <c:dPt>
            <c:idx val="4"/>
            <c:bubble3D val="0"/>
            <c:spPr>
              <a:solidFill>
                <a:schemeClr val="accent5"/>
              </a:solidFill>
              <a:ln>
                <a:noFill/>
              </a:ln>
              <a:effectLst/>
            </c:spPr>
            <c:extLst>
              <c:ext xmlns:c16="http://schemas.microsoft.com/office/drawing/2014/chart" uri="{C3380CC4-5D6E-409C-BE32-E72D297353CC}">
                <c16:uniqueId val="{00000009-DD99-47DD-96BD-81B3BA3F3771}"/>
              </c:ext>
            </c:extLst>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Sheet3!$C$3:$G$3</c:f>
              <c:strCache>
                <c:ptCount val="5"/>
                <c:pt idx="0">
                  <c:v>基本支出</c:v>
                </c:pt>
                <c:pt idx="1">
                  <c:v>项目支出</c:v>
                </c:pt>
                <c:pt idx="2">
                  <c:v>上缴上级支出</c:v>
                </c:pt>
                <c:pt idx="3">
                  <c:v>经营支出</c:v>
                </c:pt>
                <c:pt idx="4">
                  <c:v>对附属单位补助支出</c:v>
                </c:pt>
              </c:strCache>
            </c:strRef>
          </c:cat>
          <c:val>
            <c:numRef>
              <c:f>Sheet3!$C$4:$G$4</c:f>
              <c:numCache>
                <c:formatCode>General</c:formatCode>
                <c:ptCount val="5"/>
                <c:pt idx="0">
                  <c:v>1236.43</c:v>
                </c:pt>
                <c:pt idx="1">
                  <c:v>561.29999999999995</c:v>
                </c:pt>
                <c:pt idx="2">
                  <c:v>0</c:v>
                </c:pt>
                <c:pt idx="3">
                  <c:v>0</c:v>
                </c:pt>
                <c:pt idx="4">
                  <c:v>0</c:v>
                </c:pt>
              </c:numCache>
            </c:numRef>
          </c:val>
          <c:extLst>
            <c:ext xmlns:c16="http://schemas.microsoft.com/office/drawing/2014/chart" uri="{C3380CC4-5D6E-409C-BE32-E72D297353CC}">
              <c16:uniqueId val="{0000000A-DD99-47DD-96BD-81B3BA3F3771}"/>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extLst>
      <c:ext uri="{0b15fc19-7d7d-44ad-8c2d-2c3a37ce22c3}">
        <chartProps xmlns="https://web.wps.cn/et/2018/main" chartId="{1ad19160-81c6-47cd-8559-565601654def}"/>
      </c:ext>
    </c:extLst>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自定义 6">
    <a:majorFont>
      <a:latin typeface="Arial"/>
      <a:ea typeface="微软雅黑"/>
      <a:cs typeface=""/>
    </a:majorFont>
    <a:minorFont>
      <a:latin typeface="Arial"/>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自定义 6">
    <a:majorFont>
      <a:latin typeface="Arial"/>
      <a:ea typeface="微软雅黑"/>
      <a:cs typeface=""/>
    </a:majorFont>
    <a:minorFont>
      <a:latin typeface="Arial"/>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624</Words>
  <Characters>3562</Characters>
  <Application>Microsoft Office Word</Application>
  <DocSecurity>0</DocSecurity>
  <Lines>29</Lines>
  <Paragraphs>8</Paragraphs>
  <ScaleCrop>false</ScaleCrop>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DXJW</cp:lastModifiedBy>
  <cp:revision>7</cp:revision>
  <cp:lastPrinted>2020-08-09T03:39:00Z</cp:lastPrinted>
  <dcterms:created xsi:type="dcterms:W3CDTF">2017-07-13T07:16:00Z</dcterms:created>
  <dcterms:modified xsi:type="dcterms:W3CDTF">2025-09-28T02:36:00Z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