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pgBorders>
            <w:top w:val="none" w:sz="0" w:space="0"/>
            <w:left w:val="none" w:sz="0" w:space="0"/>
            <w:bottom w:val="none" w:sz="0" w:space="0"/>
            <w:right w:val="none" w:sz="0" w:space="0"/>
          </w:pgBorders>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5B27456C">
      <w:pPr>
        <w:numPr>
          <w:ilvl w:val="0"/>
          <w:numId w:val="0"/>
        </w:numPr>
        <w:tabs>
          <w:tab w:val="center" w:pos="6979"/>
        </w:tabs>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1.单位职责</w:t>
      </w:r>
    </w:p>
    <w:p w14:paraId="3737878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为本地学龄前儿童提供优质的保育教育服务。</w:t>
      </w:r>
    </w:p>
    <w:p w14:paraId="2D63196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2.机构情况</w:t>
      </w:r>
    </w:p>
    <w:p w14:paraId="2D60942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本单位是1个独立编制机构，且为独立核算机构。单位内部设有园长室、副园长室、总务室、财务室、保健室等部门，各部门各司其职，负责本单位的日常运行。</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2875.01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25.14</w:t>
      </w:r>
      <w:r>
        <w:rPr>
          <w:rFonts w:hint="eastAsia" w:ascii="仿宋_GB2312" w:eastAsia="仿宋_GB2312"/>
          <w:sz w:val="28"/>
          <w:szCs w:val="28"/>
        </w:rPr>
        <w:t>万元，增长</w:t>
      </w:r>
      <w:r>
        <w:rPr>
          <w:rFonts w:hint="eastAsia" w:ascii="仿宋_GB2312" w:eastAsia="仿宋_GB2312"/>
          <w:sz w:val="28"/>
          <w:szCs w:val="28"/>
          <w:lang w:val="en-US" w:eastAsia="zh-CN"/>
        </w:rPr>
        <w:t>0.88</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2746.01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51.54</w:t>
      </w:r>
      <w:r>
        <w:rPr>
          <w:rFonts w:hint="eastAsia" w:ascii="仿宋_GB2312" w:eastAsia="仿宋_GB2312"/>
          <w:sz w:val="28"/>
          <w:szCs w:val="28"/>
        </w:rPr>
        <w:t>万元，下降</w:t>
      </w:r>
      <w:r>
        <w:rPr>
          <w:rFonts w:hint="eastAsia" w:ascii="仿宋_GB2312" w:eastAsia="仿宋_GB2312"/>
          <w:sz w:val="28"/>
          <w:szCs w:val="28"/>
          <w:lang w:val="en-US" w:eastAsia="zh-CN"/>
        </w:rPr>
        <w:t>1.84</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2746.01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2746.01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2875.01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25.14</w:t>
      </w:r>
      <w:r>
        <w:rPr>
          <w:rFonts w:hint="eastAsia" w:ascii="仿宋_GB2312" w:eastAsia="仿宋_GB2312"/>
          <w:sz w:val="28"/>
          <w:szCs w:val="28"/>
        </w:rPr>
        <w:t>万元，增长</w:t>
      </w:r>
      <w:r>
        <w:rPr>
          <w:rFonts w:hint="eastAsia" w:ascii="仿宋_GB2312" w:eastAsia="仿宋_GB2312"/>
          <w:sz w:val="28"/>
          <w:szCs w:val="28"/>
          <w:lang w:val="en-US" w:eastAsia="zh-CN"/>
        </w:rPr>
        <w:t>0.88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1805.05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62.78</w:t>
      </w:r>
      <w:r>
        <w:rPr>
          <w:rFonts w:hint="eastAsia" w:ascii="仿宋_GB2312" w:eastAsia="仿宋_GB2312"/>
          <w:sz w:val="28"/>
          <w:szCs w:val="28"/>
          <w:highlight w:val="none"/>
        </w:rPr>
        <w:t>%；项目支出</w:t>
      </w:r>
      <w:r>
        <w:rPr>
          <w:rFonts w:ascii="仿宋_GB2312" w:eastAsia="仿宋_GB2312"/>
          <w:sz w:val="28"/>
          <w:szCs w:val="28"/>
          <w:highlight w:val="none"/>
        </w:rPr>
        <w:t>1069.96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37.22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2875.01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25.14</w:t>
      </w:r>
      <w:r>
        <w:rPr>
          <w:rFonts w:hint="eastAsia" w:ascii="仿宋_GB2312" w:eastAsia="仿宋_GB2312"/>
          <w:sz w:val="28"/>
          <w:szCs w:val="28"/>
        </w:rPr>
        <w:t>万元，增长</w:t>
      </w:r>
      <w:r>
        <w:rPr>
          <w:rFonts w:hint="eastAsia" w:ascii="仿宋_GB2312" w:eastAsia="仿宋_GB2312"/>
          <w:sz w:val="28"/>
          <w:szCs w:val="28"/>
          <w:lang w:val="en-US" w:eastAsia="zh-CN"/>
        </w:rPr>
        <w:t>0.88</w:t>
      </w:r>
      <w:r>
        <w:rPr>
          <w:rFonts w:hint="eastAsia" w:ascii="仿宋_GB2312" w:eastAsia="仿宋_GB2312"/>
          <w:sz w:val="28"/>
          <w:szCs w:val="28"/>
        </w:rPr>
        <w:t>%。主要原因：</w:t>
      </w:r>
      <w:r>
        <w:rPr>
          <w:rFonts w:hint="eastAsia" w:ascii="仿宋_GB2312" w:eastAsia="仿宋_GB2312"/>
          <w:sz w:val="28"/>
          <w:szCs w:val="28"/>
          <w:lang w:val="en-US" w:eastAsia="zh-CN"/>
        </w:rPr>
        <w:t>年初结转结余购房补贴资金增加</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2875.01</w:t>
      </w:r>
      <w:r>
        <w:rPr>
          <w:rFonts w:hint="eastAsia" w:ascii="仿宋_GB2312" w:eastAsia="仿宋_GB2312"/>
          <w:sz w:val="28"/>
          <w:szCs w:val="28"/>
        </w:rPr>
        <w:t>万元，主要用于以下方面（按大类）：一般公共服务支出0万元，占本年财政拨款支出0%；教育支出24</w:t>
      </w:r>
      <w:r>
        <w:rPr>
          <w:rFonts w:hint="eastAsia" w:ascii="仿宋_GB2312" w:eastAsia="仿宋_GB2312"/>
          <w:sz w:val="28"/>
          <w:szCs w:val="28"/>
          <w:lang w:val="en-US" w:eastAsia="zh-CN"/>
        </w:rPr>
        <w:t>48.85</w:t>
      </w:r>
      <w:r>
        <w:rPr>
          <w:rFonts w:hint="eastAsia" w:ascii="仿宋_GB2312" w:eastAsia="仿宋_GB2312"/>
          <w:sz w:val="28"/>
          <w:szCs w:val="28"/>
        </w:rPr>
        <w:t>万元，占支出合计的8</w:t>
      </w:r>
      <w:r>
        <w:rPr>
          <w:rFonts w:hint="eastAsia" w:ascii="仿宋_GB2312" w:eastAsia="仿宋_GB2312"/>
          <w:sz w:val="28"/>
          <w:szCs w:val="28"/>
          <w:lang w:val="en-US" w:eastAsia="zh-CN"/>
        </w:rPr>
        <w:t>5.18</w:t>
      </w:r>
      <w:r>
        <w:rPr>
          <w:rFonts w:hint="eastAsia" w:ascii="仿宋_GB2312" w:eastAsia="仿宋_GB2312"/>
          <w:sz w:val="28"/>
          <w:szCs w:val="28"/>
        </w:rPr>
        <w:t>%；社会保障和就业支出支出1</w:t>
      </w:r>
      <w:r>
        <w:rPr>
          <w:rFonts w:hint="eastAsia" w:ascii="仿宋_GB2312" w:eastAsia="仿宋_GB2312"/>
          <w:sz w:val="28"/>
          <w:szCs w:val="28"/>
          <w:lang w:val="en-US" w:eastAsia="zh-CN"/>
        </w:rPr>
        <w:t>77.56</w:t>
      </w:r>
      <w:r>
        <w:rPr>
          <w:rFonts w:hint="eastAsia" w:ascii="仿宋_GB2312" w:eastAsia="仿宋_GB2312"/>
          <w:sz w:val="28"/>
          <w:szCs w:val="28"/>
        </w:rPr>
        <w:t>万元，占支出合计的</w:t>
      </w:r>
      <w:r>
        <w:rPr>
          <w:rFonts w:hint="eastAsia" w:ascii="仿宋_GB2312" w:eastAsia="仿宋_GB2312"/>
          <w:sz w:val="28"/>
          <w:szCs w:val="28"/>
          <w:lang w:val="en-US" w:eastAsia="zh-CN"/>
        </w:rPr>
        <w:t>6.18</w:t>
      </w:r>
      <w:r>
        <w:rPr>
          <w:rFonts w:hint="eastAsia" w:ascii="仿宋_GB2312" w:eastAsia="仿宋_GB2312"/>
          <w:sz w:val="28"/>
          <w:szCs w:val="28"/>
        </w:rPr>
        <w:t>%;卫生健康支出11</w:t>
      </w:r>
      <w:r>
        <w:rPr>
          <w:rFonts w:hint="eastAsia" w:ascii="仿宋_GB2312" w:eastAsia="仿宋_GB2312"/>
          <w:sz w:val="28"/>
          <w:szCs w:val="28"/>
          <w:lang w:val="en-US" w:eastAsia="zh-CN"/>
        </w:rPr>
        <w:t>9.60</w:t>
      </w:r>
      <w:r>
        <w:rPr>
          <w:rFonts w:hint="eastAsia" w:ascii="仿宋_GB2312" w:eastAsia="仿宋_GB2312"/>
          <w:sz w:val="28"/>
          <w:szCs w:val="28"/>
        </w:rPr>
        <w:t>万元，占支出合计的</w:t>
      </w:r>
      <w:r>
        <w:rPr>
          <w:rFonts w:hint="eastAsia" w:ascii="仿宋_GB2312" w:eastAsia="仿宋_GB2312"/>
          <w:sz w:val="28"/>
          <w:szCs w:val="28"/>
          <w:lang w:val="en-US" w:eastAsia="zh-CN"/>
        </w:rPr>
        <w:t>4.16</w:t>
      </w:r>
      <w:r>
        <w:rPr>
          <w:rFonts w:hint="eastAsia" w:ascii="仿宋_GB2312" w:eastAsia="仿宋_GB2312"/>
          <w:sz w:val="28"/>
          <w:szCs w:val="28"/>
        </w:rPr>
        <w:t>%；住房保障支出</w:t>
      </w:r>
      <w:r>
        <w:rPr>
          <w:rFonts w:hint="eastAsia" w:ascii="仿宋_GB2312" w:eastAsia="仿宋_GB2312"/>
          <w:sz w:val="28"/>
          <w:szCs w:val="28"/>
          <w:lang w:val="en-US" w:eastAsia="zh-CN"/>
        </w:rPr>
        <w:t>129.00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4.48</w:t>
      </w:r>
      <w:r>
        <w:rPr>
          <w:rFonts w:hint="eastAsia" w:ascii="仿宋_GB2312" w:eastAsia="仿宋_GB2312"/>
          <w:sz w:val="28"/>
          <w:szCs w:val="28"/>
        </w:rPr>
        <w:t>%。城乡社区支出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7D8D942">
      <w:pPr>
        <w:spacing w:line="580" w:lineRule="exact"/>
        <w:ind w:firstLine="840" w:firstLineChars="3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eastAsia="仿宋_GB2312"/>
          <w:sz w:val="28"/>
          <w:szCs w:val="28"/>
          <w:lang w:val="en-US" w:eastAsia="zh-CN"/>
        </w:rPr>
        <w:t>教育支出</w:t>
      </w:r>
      <w:r>
        <w:rPr>
          <w:rFonts w:hint="eastAsia" w:ascii="仿宋_GB2312" w:eastAsia="仿宋_GB2312"/>
          <w:sz w:val="28"/>
          <w:szCs w:val="28"/>
        </w:rPr>
        <w:t>”(类)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2363.45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2448.85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103.61</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2363.45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2448.85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103.61</w:t>
      </w:r>
      <w:r>
        <w:rPr>
          <w:rFonts w:hint="eastAsia" w:ascii="仿宋_GB2312" w:eastAsia="仿宋_GB2312"/>
          <w:sz w:val="28"/>
          <w:szCs w:val="28"/>
        </w:rPr>
        <w:t>%。主要原因：项目经费支出增加，园内教职工人数增加，人员经费支出增大。</w:t>
      </w:r>
    </w:p>
    <w:p w14:paraId="10AB39E7">
      <w:pPr>
        <w:numPr>
          <w:ilvl w:val="0"/>
          <w:numId w:val="0"/>
        </w:numPr>
        <w:spacing w:line="580" w:lineRule="exact"/>
        <w:ind w:firstLine="840" w:firstLineChars="300"/>
        <w:rPr>
          <w:rFonts w:hint="eastAsia" w:ascii="仿宋_GB2312" w:eastAsia="仿宋_GB2312"/>
          <w:sz w:val="28"/>
          <w:szCs w:val="28"/>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“社会保障和就业支出”(类)202</w:t>
      </w:r>
      <w:r>
        <w:rPr>
          <w:rFonts w:hint="eastAsia" w:ascii="仿宋_GB2312" w:eastAsia="仿宋_GB2312"/>
          <w:color w:val="auto"/>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160.02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177.56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110.96</w:t>
      </w:r>
      <w:r>
        <w:rPr>
          <w:rFonts w:hint="eastAsia" w:ascii="仿宋_GB2312" w:eastAsia="仿宋_GB2312"/>
          <w:sz w:val="28"/>
          <w:szCs w:val="28"/>
        </w:rPr>
        <w:t>%。其中：</w:t>
      </w:r>
    </w:p>
    <w:p w14:paraId="2A1D1BF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年度度年初预算</w:t>
      </w:r>
      <w:r>
        <w:rPr>
          <w:rFonts w:hint="eastAsia" w:ascii="仿宋_GB2312" w:eastAsia="仿宋_GB2312"/>
          <w:sz w:val="28"/>
          <w:szCs w:val="28"/>
          <w:lang w:val="en-US" w:eastAsia="zh-CN"/>
        </w:rPr>
        <w:t>160.02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177.56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110.96</w:t>
      </w:r>
      <w:r>
        <w:rPr>
          <w:rFonts w:hint="eastAsia" w:ascii="仿宋_GB2312" w:eastAsia="仿宋_GB2312"/>
          <w:sz w:val="28"/>
          <w:szCs w:val="28"/>
        </w:rPr>
        <w:t>%。主要原因：园内教职工人数增加，人员经费支出增大</w:t>
      </w:r>
      <w:r>
        <w:rPr>
          <w:rFonts w:hint="eastAsia" w:ascii="仿宋_GB2312" w:eastAsia="仿宋_GB2312"/>
          <w:sz w:val="28"/>
          <w:szCs w:val="28"/>
          <w:lang w:eastAsia="zh-CN"/>
        </w:rPr>
        <w:t>，</w:t>
      </w:r>
      <w:r>
        <w:rPr>
          <w:rFonts w:hint="eastAsia" w:ascii="仿宋_GB2312" w:eastAsia="仿宋_GB2312"/>
          <w:sz w:val="28"/>
          <w:szCs w:val="28"/>
          <w:lang w:val="en-US" w:eastAsia="zh-CN"/>
        </w:rPr>
        <w:t>机关事业单位基本养老保险缴费支出及机关事业单位职业年金缴费支出增加</w:t>
      </w:r>
      <w:r>
        <w:rPr>
          <w:rFonts w:hint="eastAsia" w:ascii="仿宋_GB2312" w:eastAsia="仿宋_GB2312"/>
          <w:sz w:val="28"/>
          <w:szCs w:val="28"/>
        </w:rPr>
        <w:t>。</w:t>
      </w:r>
    </w:p>
    <w:p w14:paraId="4D465992">
      <w:pPr>
        <w:numPr>
          <w:ilvl w:val="0"/>
          <w:numId w:val="0"/>
        </w:numPr>
        <w:spacing w:line="580" w:lineRule="exact"/>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3、“卫生健康支出”(类)2024年度年初预算110.27万元，2024年度决算119.60万元，完成年初预算的108.46%。其中：</w:t>
      </w:r>
    </w:p>
    <w:p w14:paraId="584A8492">
      <w:pPr>
        <w:numPr>
          <w:ilvl w:val="0"/>
          <w:numId w:val="0"/>
        </w:numPr>
        <w:spacing w:line="580" w:lineRule="exact"/>
        <w:ind w:firstLine="560"/>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“行政事业单位医疗”（款）2024年度年初预算110.27万元，2024年度决算119.60万元，完成年初预算的108.46%。主要原因：园内教职工人数增加，人员经费支出增大，</w:t>
      </w:r>
      <w:r>
        <w:rPr>
          <w:rFonts w:hint="eastAsia" w:ascii="仿宋_GB2312" w:eastAsia="仿宋_GB2312"/>
          <w:sz w:val="28"/>
          <w:szCs w:val="28"/>
        </w:rPr>
        <w:t>医疗类保险基数</w:t>
      </w:r>
      <w:r>
        <w:rPr>
          <w:rFonts w:hint="eastAsia" w:ascii="仿宋_GB2312" w:eastAsia="仿宋_GB2312"/>
          <w:sz w:val="28"/>
          <w:szCs w:val="28"/>
          <w:lang w:val="en-US" w:eastAsia="zh-CN"/>
        </w:rPr>
        <w:t>增长</w:t>
      </w:r>
      <w:r>
        <w:rPr>
          <w:rFonts w:hint="eastAsia" w:ascii="仿宋_GB2312" w:eastAsia="仿宋_GB2312"/>
          <w:sz w:val="28"/>
          <w:szCs w:val="28"/>
        </w:rPr>
        <w:t>导致缴费变</w:t>
      </w:r>
      <w:r>
        <w:rPr>
          <w:rFonts w:hint="eastAsia" w:ascii="仿宋_GB2312" w:eastAsia="仿宋_GB2312"/>
          <w:sz w:val="28"/>
          <w:szCs w:val="28"/>
          <w:lang w:val="en-US" w:eastAsia="zh-CN"/>
        </w:rPr>
        <w:t>多。</w:t>
      </w:r>
    </w:p>
    <w:p w14:paraId="5B363016">
      <w:pPr>
        <w:numPr>
          <w:ilvl w:val="0"/>
          <w:numId w:val="0"/>
        </w:numPr>
        <w:spacing w:line="580" w:lineRule="exact"/>
        <w:ind w:firstLine="56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4、“住房保障支出”（类）2024年度年初预算0万元，2024年度决算129万元，年初无预算。其中：</w:t>
      </w:r>
    </w:p>
    <w:p w14:paraId="3A36A5C8">
      <w:pPr>
        <w:numPr>
          <w:ilvl w:val="0"/>
          <w:numId w:val="0"/>
        </w:numPr>
        <w:spacing w:line="580" w:lineRule="exact"/>
        <w:ind w:firstLine="560"/>
        <w:rPr>
          <w:rFonts w:hint="default" w:ascii="仿宋_GB2312" w:eastAsia="仿宋_GB2312"/>
          <w:sz w:val="28"/>
          <w:szCs w:val="28"/>
          <w:lang w:val="en-US" w:eastAsia="zh-CN"/>
        </w:rPr>
      </w:pPr>
      <w:r>
        <w:rPr>
          <w:rFonts w:hint="eastAsia" w:ascii="仿宋_GB2312" w:eastAsia="仿宋_GB2312"/>
          <w:sz w:val="28"/>
          <w:szCs w:val="28"/>
          <w:lang w:val="en-US" w:eastAsia="zh-CN"/>
        </w:rPr>
        <w:t>“住房改革支出”（款）2024年度年初预算0万元，2024年度决算129万元。主要原因：补发往年度住房补贴。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372FF7E">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12586985">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1805.05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4067892">
      <w:pPr>
        <w:autoSpaceDE w:val="0"/>
        <w:autoSpaceDN w:val="0"/>
        <w:adjustRightInd w:val="0"/>
        <w:spacing w:line="580" w:lineRule="exact"/>
        <w:jc w:val="both"/>
        <w:rPr>
          <w:rFonts w:hint="eastAsia" w:ascii="宋体" w:hAnsi="宋体"/>
          <w:b/>
          <w:spacing w:val="40"/>
          <w:sz w:val="32"/>
          <w:szCs w:val="32"/>
        </w:rPr>
      </w:pPr>
    </w:p>
    <w:p w14:paraId="5DB245E7">
      <w:pPr>
        <w:pStyle w:val="2"/>
        <w:rPr>
          <w:rFonts w:hint="eastAsia"/>
        </w:rPr>
      </w:pPr>
      <w:bookmarkStart w:id="0" w:name="_GoBack"/>
      <w:bookmarkEnd w:id="0"/>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1.08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w:t>
      </w:r>
      <w:r>
        <w:rPr>
          <w:rFonts w:hint="eastAsia" w:ascii="仿宋_GB2312" w:eastAsia="仿宋_GB2312"/>
          <w:sz w:val="28"/>
          <w:szCs w:val="28"/>
        </w:rPr>
        <w:t>万元减少</w:t>
      </w:r>
      <w:r>
        <w:rPr>
          <w:rFonts w:hint="eastAsia" w:ascii="仿宋_GB2312" w:eastAsia="仿宋_GB2312"/>
          <w:sz w:val="28"/>
          <w:szCs w:val="28"/>
          <w:lang w:val="en-US" w:eastAsia="zh-CN"/>
        </w:rPr>
        <w:t>1.92</w:t>
      </w:r>
      <w:r>
        <w:rPr>
          <w:rFonts w:hint="eastAsia" w:ascii="仿宋_GB2312" w:eastAsia="仿宋_GB2312"/>
          <w:sz w:val="28"/>
          <w:szCs w:val="28"/>
        </w:rPr>
        <w:t>万元。其中：</w:t>
      </w:r>
    </w:p>
    <w:p w14:paraId="7F69A5D6">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4C3F56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0.30</w:t>
      </w:r>
      <w:r>
        <w:rPr>
          <w:rFonts w:hint="eastAsia" w:ascii="仿宋_GB2312" w:eastAsia="仿宋_GB2312"/>
          <w:sz w:val="28"/>
          <w:szCs w:val="28"/>
        </w:rPr>
        <w:t>万元减少</w:t>
      </w:r>
      <w:r>
        <w:rPr>
          <w:rFonts w:hint="eastAsia" w:ascii="仿宋_GB2312" w:eastAsia="仿宋_GB2312"/>
          <w:sz w:val="28"/>
          <w:szCs w:val="28"/>
          <w:lang w:val="en-US" w:eastAsia="zh-CN"/>
        </w:rPr>
        <w:t>0.30</w:t>
      </w:r>
      <w:r>
        <w:rPr>
          <w:rFonts w:hint="eastAsia" w:ascii="仿宋_GB2312" w:eastAsia="仿宋_GB2312"/>
          <w:sz w:val="28"/>
          <w:szCs w:val="28"/>
        </w:rPr>
        <w:t>万元。主要原因：本年度无公务接待支出。</w:t>
      </w:r>
      <w:r>
        <w:rPr>
          <w:rFonts w:hint="eastAsia" w:ascii="仿宋_GB2312" w:eastAsia="仿宋_GB2312"/>
          <w:sz w:val="28"/>
          <w:szCs w:val="28"/>
          <w:highlight w:val="none"/>
        </w:rPr>
        <w:t>2024年度公务接待费主要用于公务接待事项。</w:t>
      </w:r>
      <w:r>
        <w:rPr>
          <w:rFonts w:hint="eastAsia" w:ascii="仿宋_GB2312" w:eastAsia="仿宋_GB2312"/>
          <w:sz w:val="28"/>
          <w:szCs w:val="28"/>
        </w:rPr>
        <w:t>公务接待0批次，公务接待0人次。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2.70</w:t>
      </w:r>
      <w:r>
        <w:rPr>
          <w:rFonts w:hint="eastAsia" w:ascii="仿宋_GB2312" w:eastAsia="仿宋_GB2312"/>
          <w:sz w:val="28"/>
          <w:szCs w:val="28"/>
        </w:rPr>
        <w:t>万元减少</w:t>
      </w:r>
      <w:r>
        <w:rPr>
          <w:rFonts w:hint="eastAsia" w:ascii="仿宋_GB2312" w:eastAsia="仿宋_GB2312"/>
          <w:sz w:val="28"/>
          <w:szCs w:val="28"/>
          <w:lang w:val="en-US" w:eastAsia="zh-CN"/>
        </w:rPr>
        <w:t>1.62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000000"/>
          <w:sz w:val="28"/>
          <w:szCs w:val="28"/>
        </w:rPr>
        <w:t>本年度无此项业务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1.08</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5E9E0E9">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99.22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1.07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98.15</w:t>
      </w:r>
      <w:r>
        <w:rPr>
          <w:rFonts w:hint="eastAsia" w:ascii="仿宋_GB2312" w:eastAsia="仿宋_GB2312"/>
          <w:sz w:val="28"/>
          <w:szCs w:val="28"/>
        </w:rPr>
        <w:t>万元。授予中小企业合同金额</w:t>
      </w:r>
      <w:r>
        <w:rPr>
          <w:rFonts w:ascii="仿宋_GB2312" w:eastAsia="仿宋_GB2312"/>
          <w:sz w:val="28"/>
          <w:szCs w:val="28"/>
        </w:rPr>
        <w:t>12.36</w:t>
      </w:r>
      <w:r>
        <w:rPr>
          <w:rFonts w:hint="eastAsia" w:ascii="仿宋_GB2312" w:eastAsia="仿宋_GB2312"/>
          <w:sz w:val="28"/>
          <w:szCs w:val="28"/>
        </w:rPr>
        <w:t>万元，占政府采购支出总额的</w:t>
      </w:r>
      <w:r>
        <w:rPr>
          <w:rFonts w:hint="eastAsia" w:ascii="仿宋_GB2312" w:eastAsia="仿宋_GB2312"/>
          <w:sz w:val="28"/>
          <w:szCs w:val="28"/>
          <w:lang w:eastAsia="zh-CN"/>
        </w:rPr>
        <w:t>12.46</w:t>
      </w:r>
      <w:r>
        <w:rPr>
          <w:rFonts w:hint="eastAsia" w:ascii="仿宋_GB2312" w:eastAsia="仿宋_GB2312"/>
          <w:sz w:val="28"/>
          <w:szCs w:val="28"/>
        </w:rPr>
        <w:t>%，其中：授予小微企业合同金额</w:t>
      </w:r>
      <w:r>
        <w:rPr>
          <w:rFonts w:ascii="仿宋_GB2312" w:eastAsia="仿宋_GB2312"/>
          <w:sz w:val="28"/>
          <w:szCs w:val="28"/>
        </w:rPr>
        <w:t>12.36</w:t>
      </w:r>
      <w:r>
        <w:rPr>
          <w:rFonts w:hint="eastAsia" w:ascii="仿宋_GB2312" w:eastAsia="仿宋_GB2312"/>
          <w:sz w:val="28"/>
          <w:szCs w:val="28"/>
        </w:rPr>
        <w:t>万元，占政府采购支出总额的</w:t>
      </w:r>
      <w:r>
        <w:rPr>
          <w:rFonts w:ascii="仿宋_GB2312" w:eastAsia="仿宋_GB2312"/>
          <w:sz w:val="28"/>
          <w:szCs w:val="28"/>
        </w:rPr>
        <w:t>12.46</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12月31日，北京市大兴区第九幼儿园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DC71D38">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22A1833">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rPr>
        <w:t>教育支出（类）普通教育（款）学前教育（项）：反映各部门举办的学期教育支出。政府各部门对社会组织等举办的幼儿园的资助，如捐赠、补贴等，也在本科目中反映。</w:t>
      </w:r>
    </w:p>
    <w:p w14:paraId="447FA8E2">
      <w:pPr>
        <w:tabs>
          <w:tab w:val="center" w:pos="6979"/>
        </w:tabs>
        <w:ind w:firstLine="425" w:firstLineChars="152"/>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社会保障和就业支出（类）行政事业单位养老支出（款）事业单位离退休（项）：反映事业单位开支的离退休经费</w:t>
      </w:r>
    </w:p>
    <w:p w14:paraId="707EC1BC">
      <w:pPr>
        <w:tabs>
          <w:tab w:val="center" w:pos="6979"/>
        </w:tabs>
        <w:ind w:firstLine="425" w:firstLineChars="152"/>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14:paraId="2DF4AB8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0149FE3E">
      <w:pPr>
        <w:tabs>
          <w:tab w:val="center" w:pos="6979"/>
        </w:tabs>
        <w:ind w:firstLine="425" w:firstLineChars="152"/>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EAB4906">
      <w:pPr>
        <w:tabs>
          <w:tab w:val="center" w:pos="6979"/>
        </w:tabs>
        <w:ind w:firstLine="425" w:firstLineChars="152"/>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.卫生健康支出（类）行政事业单位医疗（款）公务员医疗补助（项）：反映财政部门安排的公务员医疗补助经费。</w:t>
      </w:r>
    </w:p>
    <w:p w14:paraId="4D76F0B0">
      <w:pPr>
        <w:tabs>
          <w:tab w:val="center" w:pos="6979"/>
        </w:tabs>
        <w:ind w:firstLine="425" w:firstLineChars="152"/>
        <w:rPr>
          <w:rFonts w:hint="default" w:ascii="仿宋_GB2312" w:eastAsia="仿宋_GB2312"/>
          <w:sz w:val="28"/>
          <w:szCs w:val="28"/>
          <w:lang w:val="en-US" w:eastAsia="zh-CN"/>
        </w:rPr>
      </w:pPr>
      <w:r>
        <w:rPr>
          <w:rFonts w:hint="eastAsia" w:ascii="仿宋_GB2312" w:eastAsia="仿宋_GB2312"/>
          <w:sz w:val="28"/>
          <w:szCs w:val="28"/>
          <w:lang w:val="en-US" w:eastAsia="zh-CN"/>
        </w:rPr>
        <w:t>13.住房保障支出（类） 集中反映政府用于住房方面的支出“住房改革支出”（款）反应行政事业单位用财政拨款资金和其他资金等安排的住房改革支出。</w:t>
      </w:r>
    </w:p>
    <w:p w14:paraId="6E8C2398">
      <w:pPr>
        <w:ind w:firstLine="420" w:firstLineChars="150"/>
        <w:rPr>
          <w:rFonts w:hint="default" w:ascii="仿宋_GB2312" w:eastAsia="仿宋_GB2312"/>
          <w:sz w:val="28"/>
          <w:szCs w:val="28"/>
          <w:lang w:val="en-US" w:eastAsia="zh-CN"/>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2BFAD46D">
      <w:pPr>
        <w:ind w:firstLine="640" w:firstLineChars="200"/>
        <w:jc w:val="center"/>
        <w:rPr>
          <w:rFonts w:hint="eastAsia" w:ascii="黑体" w:eastAsia="黑体"/>
          <w:sz w:val="32"/>
          <w:szCs w:val="32"/>
        </w:rPr>
      </w:pPr>
    </w:p>
    <w:p w14:paraId="03107713">
      <w:pPr>
        <w:pStyle w:val="2"/>
        <w:rPr>
          <w:rFonts w:hint="eastAsia"/>
        </w:rPr>
      </w:pPr>
    </w:p>
    <w:p w14:paraId="7E72D3CE">
      <w:pPr>
        <w:ind w:firstLine="640" w:firstLineChars="200"/>
        <w:jc w:val="center"/>
        <w:rPr>
          <w:rFonts w:hint="eastAsia" w:ascii="黑体" w:eastAsia="黑体"/>
          <w:sz w:val="32"/>
          <w:szCs w:val="32"/>
        </w:rPr>
      </w:pPr>
    </w:p>
    <w:p w14:paraId="636664A2">
      <w:pPr>
        <w:ind w:firstLine="640" w:firstLineChars="200"/>
        <w:jc w:val="center"/>
        <w:rPr>
          <w:rFonts w:hint="eastAsia" w:ascii="黑体" w:eastAsia="黑体"/>
          <w:sz w:val="32"/>
          <w:szCs w:val="32"/>
        </w:rPr>
      </w:pPr>
    </w:p>
    <w:p w14:paraId="5486355F">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rPr>
          <w:rFonts w:hint="eastAsia" w:ascii="黑体" w:eastAsia="黑体"/>
          <w:sz w:val="28"/>
          <w:szCs w:val="28"/>
        </w:rPr>
      </w:pPr>
      <w:r>
        <w:rPr>
          <w:rFonts w:hint="eastAsia" w:ascii="黑体" w:eastAsia="黑体"/>
          <w:sz w:val="28"/>
          <w:szCs w:val="28"/>
        </w:rPr>
        <w:t xml:space="preserve"> </w:t>
      </w:r>
    </w:p>
    <w:p w14:paraId="6670CA98">
      <w:pPr>
        <w:spacing w:line="480" w:lineRule="exact"/>
        <w:rPr>
          <w:rFonts w:hint="eastAsia" w:ascii="黑体" w:eastAsia="黑体"/>
          <w:sz w:val="28"/>
          <w:szCs w:val="28"/>
        </w:rPr>
      </w:pPr>
    </w:p>
    <w:p w14:paraId="5A732D53">
      <w:pPr>
        <w:spacing w:line="480" w:lineRule="exact"/>
        <w:rPr>
          <w:rFonts w:hint="eastAsia" w:ascii="黑体" w:eastAsia="黑体"/>
          <w:sz w:val="28"/>
          <w:szCs w:val="28"/>
        </w:rPr>
      </w:pPr>
    </w:p>
    <w:p w14:paraId="002F4632">
      <w:pPr>
        <w:spacing w:line="480" w:lineRule="exact"/>
        <w:rPr>
          <w:rFonts w:hint="eastAsia" w:ascii="黑体" w:eastAsia="黑体"/>
          <w:sz w:val="28"/>
          <w:szCs w:val="28"/>
        </w:rPr>
      </w:pPr>
    </w:p>
    <w:p w14:paraId="58328E15">
      <w:pPr>
        <w:spacing w:line="480" w:lineRule="exact"/>
        <w:rPr>
          <w:rFonts w:hint="eastAsia" w:ascii="黑体" w:eastAsia="黑体"/>
          <w:sz w:val="28"/>
          <w:szCs w:val="28"/>
        </w:rPr>
      </w:pPr>
    </w:p>
    <w:p w14:paraId="7A01815D">
      <w:pPr>
        <w:spacing w:line="480" w:lineRule="exact"/>
        <w:rPr>
          <w:rFonts w:hint="eastAsia" w:ascii="黑体" w:eastAsia="黑体"/>
          <w:sz w:val="28"/>
          <w:szCs w:val="28"/>
        </w:rPr>
      </w:pPr>
    </w:p>
    <w:p w14:paraId="087127D0">
      <w:pPr>
        <w:spacing w:line="480" w:lineRule="exact"/>
        <w:rPr>
          <w:rFonts w:hint="eastAsia" w:ascii="黑体" w:eastAsia="黑体"/>
          <w:sz w:val="28"/>
          <w:szCs w:val="28"/>
        </w:rPr>
      </w:pPr>
    </w:p>
    <w:p w14:paraId="742D916D">
      <w:pPr>
        <w:spacing w:line="480" w:lineRule="exact"/>
        <w:rPr>
          <w:rFonts w:hint="eastAsia" w:ascii="黑体" w:eastAsia="黑体"/>
          <w:sz w:val="28"/>
          <w:szCs w:val="28"/>
        </w:rPr>
      </w:pPr>
    </w:p>
    <w:p w14:paraId="2A6DE8FC">
      <w:pPr>
        <w:spacing w:line="480" w:lineRule="exact"/>
        <w:rPr>
          <w:rFonts w:hint="eastAsia" w:ascii="黑体" w:eastAsia="黑体"/>
          <w:sz w:val="28"/>
          <w:szCs w:val="28"/>
        </w:rPr>
      </w:pPr>
    </w:p>
    <w:p w14:paraId="476C81B7">
      <w:pPr>
        <w:spacing w:line="480" w:lineRule="exact"/>
        <w:rPr>
          <w:rFonts w:hint="eastAsia" w:ascii="黑体" w:eastAsia="黑体"/>
          <w:sz w:val="28"/>
          <w:szCs w:val="28"/>
        </w:rPr>
      </w:pPr>
    </w:p>
    <w:p w14:paraId="6ED680F3">
      <w:pPr>
        <w:spacing w:line="480" w:lineRule="exact"/>
        <w:rPr>
          <w:rFonts w:hint="eastAsia" w:ascii="黑体" w:eastAsia="黑体"/>
          <w:sz w:val="28"/>
          <w:szCs w:val="28"/>
        </w:rPr>
      </w:pPr>
    </w:p>
    <w:p w14:paraId="57B2007E">
      <w:pPr>
        <w:spacing w:line="480" w:lineRule="exact"/>
        <w:rPr>
          <w:rFonts w:hint="eastAsia" w:ascii="黑体" w:eastAsia="黑体"/>
          <w:sz w:val="28"/>
          <w:szCs w:val="28"/>
        </w:rPr>
      </w:pPr>
    </w:p>
    <w:p w14:paraId="3A34A870">
      <w:pPr>
        <w:spacing w:line="480" w:lineRule="exact"/>
        <w:rPr>
          <w:rFonts w:hint="eastAsia" w:ascii="黑体" w:eastAsia="黑体"/>
          <w:sz w:val="28"/>
          <w:szCs w:val="28"/>
        </w:rPr>
      </w:pPr>
    </w:p>
    <w:p w14:paraId="3C775C78">
      <w:pPr>
        <w:spacing w:line="480" w:lineRule="exact"/>
        <w:rPr>
          <w:b w:val="0"/>
          <w:bCs w:val="0"/>
        </w:rPr>
      </w:pPr>
    </w:p>
    <w:sectPr>
      <w:footerReference r:id="rId4" w:type="default"/>
      <w:footerReference r:id="rId5" w:type="even"/>
      <w:pgSz w:w="16838" w:h="11906" w:orient="landscape"/>
      <w:pgMar w:top="1134" w:right="1134" w:bottom="1134" w:left="1134"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B4A44"/>
    <w:rsid w:val="015123B9"/>
    <w:rsid w:val="02583232"/>
    <w:rsid w:val="025F61DF"/>
    <w:rsid w:val="02F120AB"/>
    <w:rsid w:val="032B5196"/>
    <w:rsid w:val="041D2A27"/>
    <w:rsid w:val="04C3537C"/>
    <w:rsid w:val="0559183C"/>
    <w:rsid w:val="075229E7"/>
    <w:rsid w:val="079004AC"/>
    <w:rsid w:val="07940642"/>
    <w:rsid w:val="07C5140B"/>
    <w:rsid w:val="07F25F78"/>
    <w:rsid w:val="098322D3"/>
    <w:rsid w:val="0A524DED"/>
    <w:rsid w:val="0A8A2498"/>
    <w:rsid w:val="0A975339"/>
    <w:rsid w:val="0BA148CA"/>
    <w:rsid w:val="0C1165C4"/>
    <w:rsid w:val="0C5E1E2E"/>
    <w:rsid w:val="0C6236CC"/>
    <w:rsid w:val="0C7D0506"/>
    <w:rsid w:val="0D6D544B"/>
    <w:rsid w:val="0DD136FE"/>
    <w:rsid w:val="0E5C5CB7"/>
    <w:rsid w:val="0F542F2C"/>
    <w:rsid w:val="0F8E2C57"/>
    <w:rsid w:val="0FEA33CD"/>
    <w:rsid w:val="1059665E"/>
    <w:rsid w:val="10AC13BA"/>
    <w:rsid w:val="10E70644"/>
    <w:rsid w:val="12746EDC"/>
    <w:rsid w:val="13541895"/>
    <w:rsid w:val="138959E3"/>
    <w:rsid w:val="145A6C1B"/>
    <w:rsid w:val="14A620E2"/>
    <w:rsid w:val="14B73493"/>
    <w:rsid w:val="152A4FA3"/>
    <w:rsid w:val="15BF5C2B"/>
    <w:rsid w:val="167A2FF9"/>
    <w:rsid w:val="1764587C"/>
    <w:rsid w:val="18581C69"/>
    <w:rsid w:val="19216952"/>
    <w:rsid w:val="1A4B0999"/>
    <w:rsid w:val="1A540C42"/>
    <w:rsid w:val="1AEC0734"/>
    <w:rsid w:val="1B4A4F0A"/>
    <w:rsid w:val="1D28001A"/>
    <w:rsid w:val="1DD30ECA"/>
    <w:rsid w:val="1DE67B5E"/>
    <w:rsid w:val="1DEF20B0"/>
    <w:rsid w:val="1E3D18A3"/>
    <w:rsid w:val="1E5906A7"/>
    <w:rsid w:val="1F1620F4"/>
    <w:rsid w:val="1F52138B"/>
    <w:rsid w:val="1F7F413E"/>
    <w:rsid w:val="1FF7AB17"/>
    <w:rsid w:val="214243FA"/>
    <w:rsid w:val="21AD613C"/>
    <w:rsid w:val="221C4F27"/>
    <w:rsid w:val="22467189"/>
    <w:rsid w:val="22E9024C"/>
    <w:rsid w:val="23460F94"/>
    <w:rsid w:val="257A14F5"/>
    <w:rsid w:val="261E645E"/>
    <w:rsid w:val="26D91CB7"/>
    <w:rsid w:val="26E33204"/>
    <w:rsid w:val="27196C26"/>
    <w:rsid w:val="279369D8"/>
    <w:rsid w:val="28064A27"/>
    <w:rsid w:val="289C555E"/>
    <w:rsid w:val="29927525"/>
    <w:rsid w:val="29EF086F"/>
    <w:rsid w:val="2BC34C59"/>
    <w:rsid w:val="2CC15D95"/>
    <w:rsid w:val="2D9448CC"/>
    <w:rsid w:val="2DFA155F"/>
    <w:rsid w:val="2E61338C"/>
    <w:rsid w:val="2EBA0CEE"/>
    <w:rsid w:val="2EFFE297"/>
    <w:rsid w:val="2F48361F"/>
    <w:rsid w:val="2F6F3887"/>
    <w:rsid w:val="2FB7522E"/>
    <w:rsid w:val="301437CA"/>
    <w:rsid w:val="34115391"/>
    <w:rsid w:val="34401C96"/>
    <w:rsid w:val="34421098"/>
    <w:rsid w:val="344E2761"/>
    <w:rsid w:val="348849E1"/>
    <w:rsid w:val="348E03DB"/>
    <w:rsid w:val="349D1F0A"/>
    <w:rsid w:val="34DD0473"/>
    <w:rsid w:val="35867B7C"/>
    <w:rsid w:val="35E52AF5"/>
    <w:rsid w:val="37DE77FC"/>
    <w:rsid w:val="38547ABE"/>
    <w:rsid w:val="3A0B3A62"/>
    <w:rsid w:val="3A8E35DC"/>
    <w:rsid w:val="3A920D71"/>
    <w:rsid w:val="3B691AD2"/>
    <w:rsid w:val="3B8E32E7"/>
    <w:rsid w:val="3BEB698B"/>
    <w:rsid w:val="3C684897"/>
    <w:rsid w:val="3C7E40F7"/>
    <w:rsid w:val="3EB968CD"/>
    <w:rsid w:val="3F0A24DD"/>
    <w:rsid w:val="410D1152"/>
    <w:rsid w:val="41F761BF"/>
    <w:rsid w:val="433E495C"/>
    <w:rsid w:val="43DE49E0"/>
    <w:rsid w:val="43EA7528"/>
    <w:rsid w:val="467632F5"/>
    <w:rsid w:val="47332F94"/>
    <w:rsid w:val="48967E00"/>
    <w:rsid w:val="489F2FD7"/>
    <w:rsid w:val="48D12A65"/>
    <w:rsid w:val="49227764"/>
    <w:rsid w:val="493108C7"/>
    <w:rsid w:val="4A190B67"/>
    <w:rsid w:val="4AC27CB3"/>
    <w:rsid w:val="4BB70638"/>
    <w:rsid w:val="4BD44D46"/>
    <w:rsid w:val="4BF72BEF"/>
    <w:rsid w:val="4E7B7639"/>
    <w:rsid w:val="4EC76DE4"/>
    <w:rsid w:val="4FA90297"/>
    <w:rsid w:val="4FC41A43"/>
    <w:rsid w:val="509C475F"/>
    <w:rsid w:val="51DB3C59"/>
    <w:rsid w:val="5479292E"/>
    <w:rsid w:val="550C0952"/>
    <w:rsid w:val="55762E42"/>
    <w:rsid w:val="5612303A"/>
    <w:rsid w:val="56410322"/>
    <w:rsid w:val="5671035A"/>
    <w:rsid w:val="56955A19"/>
    <w:rsid w:val="56E36785"/>
    <w:rsid w:val="57835872"/>
    <w:rsid w:val="57971413"/>
    <w:rsid w:val="57A7B272"/>
    <w:rsid w:val="58470068"/>
    <w:rsid w:val="58747CAC"/>
    <w:rsid w:val="58B75C73"/>
    <w:rsid w:val="593E4146"/>
    <w:rsid w:val="5A1720F9"/>
    <w:rsid w:val="5B377EB4"/>
    <w:rsid w:val="5B726329"/>
    <w:rsid w:val="5B9C37C2"/>
    <w:rsid w:val="5BA7C654"/>
    <w:rsid w:val="5BF8143A"/>
    <w:rsid w:val="5CF82890"/>
    <w:rsid w:val="5D8C6F8E"/>
    <w:rsid w:val="5DF716AE"/>
    <w:rsid w:val="5F9F507E"/>
    <w:rsid w:val="60844B35"/>
    <w:rsid w:val="60A54109"/>
    <w:rsid w:val="60C56E6C"/>
    <w:rsid w:val="61A2589A"/>
    <w:rsid w:val="61D01CDF"/>
    <w:rsid w:val="63BA6ABF"/>
    <w:rsid w:val="64C0607C"/>
    <w:rsid w:val="64D43BB1"/>
    <w:rsid w:val="64F81AF8"/>
    <w:rsid w:val="65756C86"/>
    <w:rsid w:val="65CC6636"/>
    <w:rsid w:val="674D385B"/>
    <w:rsid w:val="676F09E1"/>
    <w:rsid w:val="67B57CC9"/>
    <w:rsid w:val="683926A8"/>
    <w:rsid w:val="6AC00DE7"/>
    <w:rsid w:val="6D0C2A35"/>
    <w:rsid w:val="6DB56961"/>
    <w:rsid w:val="71053BD0"/>
    <w:rsid w:val="71691990"/>
    <w:rsid w:val="71793A80"/>
    <w:rsid w:val="7357290B"/>
    <w:rsid w:val="74254390"/>
    <w:rsid w:val="74DB0643"/>
    <w:rsid w:val="75673294"/>
    <w:rsid w:val="756E3DEA"/>
    <w:rsid w:val="768D0E67"/>
    <w:rsid w:val="76FB1693"/>
    <w:rsid w:val="79654980"/>
    <w:rsid w:val="798524E4"/>
    <w:rsid w:val="7A1E34AC"/>
    <w:rsid w:val="7A664E53"/>
    <w:rsid w:val="7A7F1C49"/>
    <w:rsid w:val="7AA5597C"/>
    <w:rsid w:val="7AAB0D1D"/>
    <w:rsid w:val="7B5B7AE6"/>
    <w:rsid w:val="7B7B6628"/>
    <w:rsid w:val="7BA7071E"/>
    <w:rsid w:val="7BB0282A"/>
    <w:rsid w:val="7BDF6DA8"/>
    <w:rsid w:val="7C7970C0"/>
    <w:rsid w:val="7C7EDC1A"/>
    <w:rsid w:val="7CCED98D"/>
    <w:rsid w:val="7D08410F"/>
    <w:rsid w:val="7DB96DED"/>
    <w:rsid w:val="7DD3AD81"/>
    <w:rsid w:val="7DFFF77E"/>
    <w:rsid w:val="7E9D67F1"/>
    <w:rsid w:val="7EF42A2E"/>
    <w:rsid w:val="7F53A862"/>
    <w:rsid w:val="7F7FE70F"/>
    <w:rsid w:val="7FAE52D2"/>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51"/>
    <w:basedOn w:val="11"/>
    <w:qFormat/>
    <w:uiPriority w:val="0"/>
    <w:rPr>
      <w:rFonts w:hint="eastAsia" w:ascii="宋体" w:hAnsi="宋体" w:eastAsia="宋体" w:cs="宋体"/>
      <w:color w:val="000000"/>
      <w:sz w:val="13"/>
      <w:szCs w:val="13"/>
      <w:u w:val="none"/>
    </w:rPr>
  </w:style>
  <w:style w:type="character" w:customStyle="1" w:styleId="21">
    <w:name w:val="font41"/>
    <w:basedOn w:val="11"/>
    <w:qFormat/>
    <w:uiPriority w:val="0"/>
    <w:rPr>
      <w:rFonts w:hint="eastAsia" w:ascii="宋体" w:hAnsi="宋体" w:eastAsia="宋体" w:cs="宋体"/>
      <w:color w:val="000000"/>
      <w:sz w:val="13"/>
      <w:szCs w:val="13"/>
      <w:u w:val="none"/>
    </w:rPr>
  </w:style>
  <w:style w:type="character" w:customStyle="1" w:styleId="22">
    <w:name w:val="font81"/>
    <w:basedOn w:val="11"/>
    <w:qFormat/>
    <w:uiPriority w:val="0"/>
    <w:rPr>
      <w:rFonts w:hint="eastAsia" w:ascii="宋体" w:hAnsi="宋体" w:eastAsia="宋体" w:cs="宋体"/>
      <w:color w:val="000000"/>
      <w:sz w:val="13"/>
      <w:szCs w:val="13"/>
      <w:u w:val="none"/>
    </w:rPr>
  </w:style>
  <w:style w:type="character" w:customStyle="1" w:styleId="23">
    <w:name w:val="font61"/>
    <w:basedOn w:val="11"/>
    <w:qFormat/>
    <w:uiPriority w:val="0"/>
    <w:rPr>
      <w:rFonts w:hint="eastAsia" w:ascii="宋体" w:hAnsi="宋体" w:eastAsia="宋体" w:cs="宋体"/>
      <w:color w:val="000000"/>
      <w:sz w:val="18"/>
      <w:szCs w:val="18"/>
      <w:u w:val="none"/>
    </w:rPr>
  </w:style>
  <w:style w:type="character" w:customStyle="1" w:styleId="24">
    <w:name w:val="font21"/>
    <w:basedOn w:val="11"/>
    <w:qFormat/>
    <w:uiPriority w:val="0"/>
    <w:rPr>
      <w:rFonts w:hint="eastAsia" w:ascii="宋体" w:hAnsi="宋体" w:eastAsia="宋体" w:cs="宋体"/>
      <w:color w:val="000000"/>
      <w:sz w:val="18"/>
      <w:szCs w:val="18"/>
      <w:u w:val="none"/>
    </w:rPr>
  </w:style>
  <w:style w:type="character" w:customStyle="1" w:styleId="25">
    <w:name w:val="font7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2746.01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1805.05</c:v>
                </c:pt>
                <c:pt idx="1">
                  <c:v>1069.96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3862</Words>
  <Characters>4464</Characters>
  <Lines>44</Lines>
  <Paragraphs>12</Paragraphs>
  <TotalTime>0</TotalTime>
  <ScaleCrop>false</ScaleCrop>
  <LinksUpToDate>false</LinksUpToDate>
  <CharactersWithSpaces>4499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企业用户_610574198</cp:lastModifiedBy>
  <cp:lastPrinted>2020-08-09T03:39:00Z</cp:lastPrinted>
  <dcterms:modified xsi:type="dcterms:W3CDTF">2025-09-28T02:53:04Z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eyJoZGlkIjoiNjM2MDIwMGE4ZDFiZWE3MmJlMjI4MzVlOWZhZGFlOGMiLCJ1c2VySWQiOiIxNTk4OTA5NjIyIn0=</vt:lpwstr>
  </property>
</Properties>
</file>