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CDB80" w14:textId="77777777" w:rsidR="00BD47B0" w:rsidRDefault="00BD47B0">
      <w:pPr>
        <w:jc w:val="center"/>
        <w:rPr>
          <w:rFonts w:ascii="仿宋_GB2312" w:eastAsia="仿宋_GB2312"/>
          <w:b/>
          <w:sz w:val="32"/>
          <w:szCs w:val="32"/>
        </w:rPr>
      </w:pPr>
    </w:p>
    <w:p w14:paraId="4A7D976A" w14:textId="77777777" w:rsidR="00BD47B0" w:rsidRDefault="00BD47B0">
      <w:pPr>
        <w:jc w:val="center"/>
        <w:rPr>
          <w:rFonts w:ascii="黑体" w:eastAsia="黑体"/>
          <w:sz w:val="72"/>
          <w:szCs w:val="72"/>
        </w:rPr>
      </w:pPr>
    </w:p>
    <w:p w14:paraId="4F269626" w14:textId="77777777" w:rsidR="00BD47B0" w:rsidRDefault="00BD47B0">
      <w:pPr>
        <w:jc w:val="center"/>
        <w:rPr>
          <w:rFonts w:ascii="黑体" w:eastAsia="黑体"/>
          <w:sz w:val="72"/>
          <w:szCs w:val="72"/>
        </w:rPr>
      </w:pPr>
    </w:p>
    <w:p w14:paraId="165B0513" w14:textId="77777777" w:rsidR="00BD47B0" w:rsidRDefault="00BD47B0">
      <w:pPr>
        <w:jc w:val="center"/>
        <w:rPr>
          <w:rFonts w:ascii="黑体" w:eastAsia="黑体"/>
          <w:sz w:val="72"/>
          <w:szCs w:val="72"/>
        </w:rPr>
      </w:pPr>
    </w:p>
    <w:p w14:paraId="3CDE7881" w14:textId="77777777" w:rsidR="00BD47B0" w:rsidRDefault="00BD47B0">
      <w:pPr>
        <w:jc w:val="center"/>
        <w:rPr>
          <w:rFonts w:ascii="黑体" w:eastAsia="黑体"/>
          <w:sz w:val="72"/>
          <w:szCs w:val="72"/>
        </w:rPr>
      </w:pPr>
    </w:p>
    <w:p w14:paraId="3DC1B518" w14:textId="77777777" w:rsidR="00BD47B0" w:rsidRDefault="002E6E06">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14:paraId="4B4D3774" w14:textId="77777777" w:rsidR="00BD47B0" w:rsidRDefault="00BD47B0">
      <w:pPr>
        <w:jc w:val="center"/>
        <w:rPr>
          <w:rFonts w:ascii="黑体" w:eastAsia="黑体"/>
          <w:sz w:val="52"/>
          <w:szCs w:val="52"/>
        </w:rPr>
      </w:pPr>
    </w:p>
    <w:p w14:paraId="6C553FE5" w14:textId="77777777" w:rsidR="00BD47B0" w:rsidRDefault="00BD47B0">
      <w:pPr>
        <w:jc w:val="center"/>
        <w:rPr>
          <w:rFonts w:ascii="黑体" w:eastAsia="黑体"/>
          <w:sz w:val="52"/>
          <w:szCs w:val="52"/>
        </w:rPr>
      </w:pPr>
    </w:p>
    <w:p w14:paraId="1D811D78" w14:textId="77777777" w:rsidR="00BD47B0" w:rsidRDefault="00BD47B0">
      <w:pPr>
        <w:jc w:val="center"/>
        <w:rPr>
          <w:rFonts w:ascii="黑体" w:eastAsia="黑体"/>
          <w:sz w:val="52"/>
          <w:szCs w:val="52"/>
        </w:rPr>
      </w:pPr>
    </w:p>
    <w:p w14:paraId="7D544002" w14:textId="77777777" w:rsidR="00BD47B0" w:rsidRDefault="00BD47B0">
      <w:pPr>
        <w:jc w:val="center"/>
        <w:rPr>
          <w:rFonts w:ascii="黑体" w:eastAsia="黑体"/>
          <w:sz w:val="52"/>
          <w:szCs w:val="52"/>
        </w:rPr>
      </w:pPr>
    </w:p>
    <w:p w14:paraId="24288E81" w14:textId="77777777" w:rsidR="00BD47B0" w:rsidRDefault="00BD47B0">
      <w:pPr>
        <w:jc w:val="center"/>
        <w:rPr>
          <w:rFonts w:ascii="黑体" w:eastAsia="黑体"/>
          <w:sz w:val="32"/>
          <w:szCs w:val="32"/>
        </w:rPr>
      </w:pPr>
    </w:p>
    <w:p w14:paraId="42EFB56B" w14:textId="77777777" w:rsidR="00BD47B0" w:rsidRDefault="002E6E06">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14:paraId="010F9973" w14:textId="77777777" w:rsidR="00BD47B0" w:rsidRDefault="00BD47B0">
      <w:pPr>
        <w:spacing w:line="500" w:lineRule="exact"/>
        <w:ind w:firstLine="645"/>
        <w:jc w:val="center"/>
        <w:rPr>
          <w:rFonts w:ascii="宋体" w:hAnsi="宋体" w:cs="宋体"/>
          <w:b/>
          <w:bCs/>
          <w:kern w:val="0"/>
          <w:sz w:val="36"/>
          <w:szCs w:val="36"/>
        </w:rPr>
      </w:pPr>
    </w:p>
    <w:p w14:paraId="4E7E8082" w14:textId="77777777" w:rsidR="00BD47B0" w:rsidRDefault="002E6E0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14:paraId="6614C9C0" w14:textId="77777777" w:rsidR="00BD47B0" w:rsidRDefault="002E6E0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468CBDD7"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205BBAF2"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7A1FA795"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2B6CFEE2"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14:paraId="0F7AF268"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14:paraId="7AB22C23"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205428F0"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57B33A28"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14:paraId="11CAE880"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14:paraId="3046336B"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14:paraId="102F5D33" w14:textId="77777777" w:rsidR="00BD47B0" w:rsidRDefault="002E6E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14:paraId="04173264" w14:textId="77777777" w:rsidR="00BD47B0" w:rsidRDefault="002E6E0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14:paraId="08F4D709" w14:textId="77777777" w:rsidR="00BD47B0" w:rsidRDefault="002E6E0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14:paraId="33EA2A4B" w14:textId="77777777" w:rsidR="00BD47B0" w:rsidRDefault="002E6E06">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14:paraId="396557AA" w14:textId="77777777" w:rsidR="00BD47B0" w:rsidRDefault="00BD47B0">
      <w:pPr>
        <w:tabs>
          <w:tab w:val="center" w:pos="6979"/>
        </w:tabs>
        <w:spacing w:beforeLines="50" w:before="156" w:afterLines="50" w:after="156"/>
        <w:jc w:val="center"/>
        <w:rPr>
          <w:rFonts w:ascii="宋体" w:hAnsi="宋体" w:cs="宋体"/>
          <w:b/>
          <w:bCs/>
          <w:spacing w:val="40"/>
          <w:kern w:val="0"/>
          <w:sz w:val="32"/>
          <w:szCs w:val="32"/>
        </w:rPr>
      </w:pPr>
    </w:p>
    <w:p w14:paraId="7FE0D51E" w14:textId="77777777" w:rsidR="00BD47B0" w:rsidRDefault="00BD47B0">
      <w:pPr>
        <w:tabs>
          <w:tab w:val="center" w:pos="6979"/>
        </w:tabs>
        <w:spacing w:beforeLines="50" w:before="156" w:afterLines="50" w:after="156"/>
        <w:jc w:val="center"/>
        <w:rPr>
          <w:rFonts w:ascii="宋体" w:hAnsi="宋体" w:cs="宋体"/>
          <w:b/>
          <w:bCs/>
          <w:spacing w:val="40"/>
          <w:kern w:val="0"/>
          <w:sz w:val="32"/>
          <w:szCs w:val="32"/>
        </w:rPr>
      </w:pPr>
    </w:p>
    <w:p w14:paraId="6F5CE139" w14:textId="77777777" w:rsidR="00BD47B0" w:rsidRDefault="00BD47B0">
      <w:pPr>
        <w:tabs>
          <w:tab w:val="center" w:pos="6979"/>
        </w:tabs>
        <w:spacing w:beforeLines="50" w:before="156" w:afterLines="50" w:after="156"/>
        <w:jc w:val="center"/>
        <w:rPr>
          <w:rFonts w:ascii="宋体" w:hAnsi="宋体" w:cs="宋体"/>
          <w:b/>
          <w:bCs/>
          <w:spacing w:val="40"/>
          <w:kern w:val="0"/>
          <w:sz w:val="32"/>
          <w:szCs w:val="32"/>
        </w:rPr>
      </w:pPr>
    </w:p>
    <w:p w14:paraId="59393553" w14:textId="77777777" w:rsidR="00BD47B0" w:rsidRDefault="00BD47B0">
      <w:pPr>
        <w:tabs>
          <w:tab w:val="center" w:pos="6979"/>
        </w:tabs>
        <w:spacing w:beforeLines="50" w:before="156" w:afterLines="50" w:after="156"/>
        <w:jc w:val="center"/>
        <w:rPr>
          <w:rFonts w:ascii="宋体" w:hAnsi="宋体" w:cs="宋体"/>
          <w:b/>
          <w:bCs/>
          <w:spacing w:val="40"/>
          <w:kern w:val="0"/>
          <w:sz w:val="32"/>
          <w:szCs w:val="32"/>
        </w:rPr>
      </w:pPr>
    </w:p>
    <w:p w14:paraId="02BFA778" w14:textId="77777777" w:rsidR="00BD47B0" w:rsidRDefault="00BD47B0">
      <w:pPr>
        <w:tabs>
          <w:tab w:val="center" w:pos="6979"/>
        </w:tabs>
        <w:spacing w:beforeLines="50" w:before="156" w:afterLines="50" w:after="156"/>
        <w:jc w:val="center"/>
        <w:rPr>
          <w:rFonts w:ascii="宋体" w:hAnsi="宋体" w:cs="宋体"/>
          <w:b/>
          <w:bCs/>
          <w:spacing w:val="40"/>
          <w:kern w:val="0"/>
          <w:sz w:val="32"/>
          <w:szCs w:val="32"/>
        </w:rPr>
      </w:pPr>
    </w:p>
    <w:p w14:paraId="0D8852CE" w14:textId="77777777" w:rsidR="00BD47B0" w:rsidRDefault="002E6E06">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14:paraId="41DD62C2" w14:textId="77777777" w:rsidR="00BD47B0" w:rsidRDefault="002E6E06">
      <w:pPr>
        <w:pStyle w:val="2"/>
        <w:rPr>
          <w:b w:val="0"/>
          <w:bCs w:val="0"/>
        </w:rPr>
        <w:sectPr w:rsidR="00BD47B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6522869D" w14:textId="77777777" w:rsidR="00BD47B0" w:rsidRDefault="002E6E06">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14:paraId="78932294" w14:textId="77777777" w:rsidR="00BD47B0" w:rsidRDefault="002E6E0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3FA27709" w14:textId="77777777" w:rsidR="00BD47B0" w:rsidRDefault="002E6E06">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本部门职责：实施小学、初中教育，促进基础教育发展。</w:t>
      </w:r>
    </w:p>
    <w:p w14:paraId="56BD6411" w14:textId="77777777" w:rsidR="00BD47B0" w:rsidRDefault="002E6E06">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机构情况：</w:t>
      </w:r>
      <w:proofErr w:type="gramStart"/>
      <w:r>
        <w:rPr>
          <w:rFonts w:ascii="仿宋_GB2312" w:eastAsia="仿宋_GB2312" w:hint="eastAsia"/>
          <w:kern w:val="0"/>
          <w:sz w:val="28"/>
          <w:szCs w:val="28"/>
        </w:rPr>
        <w:t>大兴区</w:t>
      </w:r>
      <w:proofErr w:type="gramEnd"/>
      <w:r>
        <w:rPr>
          <w:rFonts w:ascii="仿宋_GB2312" w:eastAsia="仿宋_GB2312" w:hint="eastAsia"/>
          <w:kern w:val="0"/>
          <w:sz w:val="28"/>
          <w:szCs w:val="28"/>
        </w:rPr>
        <w:t>北京市第八中学亦庄分校共设有9个部门，即教务处、德育处、党办、行政办、教科研办公室、总务处、安保办、共青团、少先队等部门。</w:t>
      </w:r>
    </w:p>
    <w:p w14:paraId="3AB4CB2D" w14:textId="77777777" w:rsidR="00BD47B0" w:rsidRDefault="002E6E06">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44E33F82" w14:textId="77777777" w:rsidR="00BD47B0" w:rsidRDefault="002E6E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4780.84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增加447.88万元，增长10.34%。</w:t>
      </w:r>
    </w:p>
    <w:p w14:paraId="5D0846FA" w14:textId="77777777" w:rsidR="00BD47B0" w:rsidRDefault="002E6E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197BC1D"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2024年度本年收入合计4474.22万元，比上年增加447.88万元，增长10.34%。</w:t>
      </w:r>
    </w:p>
    <w:p w14:paraId="55186F76" w14:textId="2A3B727B"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4474.22</w:t>
      </w:r>
      <w:r>
        <w:rPr>
          <w:rFonts w:ascii="仿宋_GB2312" w:eastAsia="仿宋_GB2312" w:hint="eastAsia"/>
          <w:sz w:val="28"/>
          <w:szCs w:val="28"/>
        </w:rPr>
        <w:t>万元，占收入合计的100%。其中：一般公共预算财政拨款收入</w:t>
      </w:r>
      <w:r>
        <w:rPr>
          <w:rFonts w:ascii="仿宋_GB2312" w:eastAsia="仿宋_GB2312"/>
          <w:sz w:val="28"/>
          <w:szCs w:val="28"/>
        </w:rPr>
        <w:t>4474.22</w:t>
      </w:r>
      <w:r>
        <w:rPr>
          <w:rFonts w:ascii="仿宋_GB2312" w:eastAsia="仿宋_GB2312" w:hint="eastAsia"/>
          <w:sz w:val="28"/>
          <w:szCs w:val="28"/>
        </w:rPr>
        <w:t>万元，占收入合计的</w:t>
      </w:r>
      <w:r w:rsidR="00686C49">
        <w:rPr>
          <w:rFonts w:ascii="仿宋_GB2312" w:eastAsia="仿宋_GB2312" w:hint="eastAsia"/>
          <w:sz w:val="28"/>
          <w:szCs w:val="28"/>
        </w:rPr>
        <w:t>93.59</w:t>
      </w:r>
      <w:bookmarkStart w:id="0" w:name="_GoBack"/>
      <w:bookmarkEnd w:id="0"/>
      <w:r>
        <w:rPr>
          <w:rFonts w:ascii="仿宋_GB2312" w:eastAsia="仿宋_GB2312" w:hint="eastAsia"/>
          <w:sz w:val="28"/>
          <w:szCs w:val="28"/>
        </w:rPr>
        <w:t>%；政府性基金预算财政拨款收入0.00万元，占收入合计的0.00%；国有资本经营预算财政拨款收入0.00万元，占收入合计的0.00%；</w:t>
      </w:r>
    </w:p>
    <w:p w14:paraId="2578F449"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14:paraId="2C405602"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14:paraId="3B305B20"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14:paraId="4924B0A4"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14:paraId="1F997180"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14:paraId="5CA400E2" w14:textId="77777777" w:rsidR="00BD47B0" w:rsidRDefault="002E6E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1AC2BF96" w14:textId="77777777" w:rsidR="00BD47B0" w:rsidRDefault="002E6E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4780.84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447.88万元，增长10.34%，其中：基本支出</w:t>
      </w:r>
      <w:r>
        <w:rPr>
          <w:rFonts w:ascii="仿宋_GB2312" w:eastAsia="仿宋_GB2312"/>
          <w:sz w:val="28"/>
          <w:szCs w:val="28"/>
        </w:rPr>
        <w:t>4438.75</w:t>
      </w:r>
      <w:r>
        <w:rPr>
          <w:rFonts w:ascii="仿宋_GB2312" w:eastAsia="仿宋_GB2312" w:hint="eastAsia"/>
          <w:sz w:val="28"/>
          <w:szCs w:val="28"/>
        </w:rPr>
        <w:t>万元，占支出合计的92.84%；项目支出</w:t>
      </w:r>
      <w:r>
        <w:rPr>
          <w:rFonts w:ascii="仿宋_GB2312" w:eastAsia="仿宋_GB2312"/>
          <w:sz w:val="28"/>
          <w:szCs w:val="28"/>
        </w:rPr>
        <w:t>342.09</w:t>
      </w:r>
      <w:r>
        <w:rPr>
          <w:rFonts w:ascii="仿宋_GB2312" w:eastAsia="仿宋_GB2312" w:hint="eastAsia"/>
          <w:sz w:val="28"/>
          <w:szCs w:val="28"/>
        </w:rPr>
        <w:t>万元，占支出合计的7.16%;上缴上级支出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14:paraId="3C3C9D08" w14:textId="77777777" w:rsidR="00BD47B0" w:rsidRDefault="002E6E06">
      <w:pPr>
        <w:pStyle w:val="2"/>
        <w:ind w:firstLine="642"/>
        <w:jc w:val="center"/>
        <w:rPr>
          <w:rFonts w:ascii="仿宋_GB2312" w:eastAsia="仿宋_GB2312"/>
          <w:color w:val="000000"/>
          <w:sz w:val="32"/>
        </w:rPr>
      </w:pPr>
      <w:r>
        <w:rPr>
          <w:rFonts w:ascii="仿宋_GB2312" w:eastAsia="仿宋_GB2312" w:hint="eastAsia"/>
          <w:color w:val="000000"/>
          <w:sz w:val="32"/>
        </w:rPr>
        <w:t>图1：基本支出和项目支出情况</w:t>
      </w:r>
    </w:p>
    <w:p w14:paraId="7C6116F1" w14:textId="77777777" w:rsidR="00BD47B0" w:rsidRDefault="002E6E06">
      <w:pPr>
        <w:jc w:val="center"/>
        <w:rPr>
          <w:rFonts w:ascii="黑体" w:eastAsia="黑体"/>
          <w:b/>
          <w:sz w:val="28"/>
          <w:szCs w:val="28"/>
        </w:rPr>
      </w:pPr>
      <w:r>
        <w:rPr>
          <w:noProof/>
        </w:rPr>
        <w:drawing>
          <wp:inline distT="0" distB="0" distL="114300" distR="114300" wp14:anchorId="2E88489C" wp14:editId="3D56649C">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3BA0FFE" w14:textId="77777777" w:rsidR="00BD47B0" w:rsidRDefault="002E6E0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0404413E" w14:textId="77777777" w:rsidR="00BD47B0" w:rsidRDefault="002E6E06">
      <w:pPr>
        <w:tabs>
          <w:tab w:val="center" w:pos="6979"/>
        </w:tabs>
        <w:spacing w:line="580" w:lineRule="exact"/>
        <w:ind w:firstLine="570"/>
        <w:rPr>
          <w:rFonts w:ascii="仿宋_GB2312" w:eastAsia="仿宋_GB2312"/>
          <w:sz w:val="28"/>
          <w:szCs w:val="28"/>
          <w:highlight w:val="green"/>
        </w:rPr>
      </w:pPr>
      <w:r>
        <w:rPr>
          <w:rFonts w:ascii="仿宋_GB2312" w:eastAsia="仿宋_GB2312" w:hint="eastAsia"/>
          <w:sz w:val="28"/>
          <w:szCs w:val="28"/>
        </w:rPr>
        <w:lastRenderedPageBreak/>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4780.84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447.88万元，增长10.34%。主要原因：人员工资等。</w:t>
      </w:r>
    </w:p>
    <w:p w14:paraId="3247A351" w14:textId="77777777" w:rsidR="00BD47B0" w:rsidRDefault="002E6E06">
      <w:pPr>
        <w:tabs>
          <w:tab w:val="center" w:pos="6979"/>
        </w:tabs>
        <w:spacing w:line="580" w:lineRule="exact"/>
        <w:ind w:firstLine="570"/>
        <w:rPr>
          <w:rFonts w:ascii="黑体" w:eastAsia="黑体"/>
          <w:b/>
          <w:sz w:val="28"/>
          <w:szCs w:val="28"/>
        </w:rPr>
      </w:pPr>
      <w:r>
        <w:rPr>
          <w:rFonts w:ascii="黑体" w:eastAsia="黑体" w:hint="eastAsia"/>
          <w:b/>
          <w:sz w:val="28"/>
          <w:szCs w:val="28"/>
        </w:rPr>
        <w:t>四、一般公共预算财政拨款支出决算情况说明</w:t>
      </w:r>
    </w:p>
    <w:p w14:paraId="01513252" w14:textId="77777777" w:rsidR="00BD47B0" w:rsidRDefault="002E6E0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30429BD"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4780.84</w:t>
      </w:r>
      <w:r>
        <w:rPr>
          <w:rFonts w:ascii="仿宋_GB2312" w:eastAsia="仿宋_GB2312" w:hint="eastAsia"/>
          <w:sz w:val="28"/>
          <w:szCs w:val="28"/>
        </w:rPr>
        <w:t>万元，主要用于以下方面（按大类）：教育支出3569.58万元，占本年财政拨款支出74.66%；社会保障和就业支出526.26万元，占本年财政拨款支出11.01%；卫生健康支出378.37万元，占本年财政拨款支出7.92%；住房保障支出306.63万元，占本年财政拨款支出6.41%</w:t>
      </w:r>
    </w:p>
    <w:p w14:paraId="71C2091B" w14:textId="77777777" w:rsidR="00BD47B0" w:rsidRDefault="002E6E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14:paraId="3BE44729" w14:textId="2A37948C" w:rsidR="00BD47B0" w:rsidRDefault="002E6E0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w:t>
      </w:r>
      <w:r>
        <w:rPr>
          <w:rFonts w:ascii="仿宋_GB2312" w:eastAsia="仿宋_GB2312"/>
          <w:sz w:val="28"/>
          <w:szCs w:val="28"/>
        </w:rPr>
        <w:t>3644.09</w:t>
      </w:r>
      <w:r>
        <w:rPr>
          <w:rFonts w:ascii="仿宋_GB2312" w:eastAsia="仿宋_GB2312" w:hint="eastAsia"/>
          <w:sz w:val="28"/>
          <w:szCs w:val="28"/>
        </w:rPr>
        <w:t>万元，2024年度决算</w:t>
      </w:r>
      <w:r w:rsidR="00041149">
        <w:rPr>
          <w:rFonts w:ascii="仿宋_GB2312" w:eastAsia="仿宋_GB2312" w:hint="eastAsia"/>
          <w:sz w:val="28"/>
          <w:szCs w:val="28"/>
        </w:rPr>
        <w:t>3569.58</w:t>
      </w:r>
      <w:r>
        <w:rPr>
          <w:rFonts w:ascii="仿宋_GB2312" w:eastAsia="仿宋_GB2312" w:hint="eastAsia"/>
          <w:sz w:val="28"/>
          <w:szCs w:val="28"/>
        </w:rPr>
        <w:t>万元，完成年初预算的</w:t>
      </w:r>
      <w:r w:rsidR="0050226A">
        <w:rPr>
          <w:rFonts w:ascii="仿宋_GB2312" w:eastAsia="仿宋_GB2312" w:hint="eastAsia"/>
          <w:sz w:val="28"/>
          <w:szCs w:val="28"/>
        </w:rPr>
        <w:t>98.00</w:t>
      </w:r>
      <w:r>
        <w:rPr>
          <w:rFonts w:ascii="仿宋_GB2312" w:eastAsia="仿宋_GB2312" w:hint="eastAsia"/>
          <w:sz w:val="28"/>
          <w:szCs w:val="28"/>
        </w:rPr>
        <w:t>%。</w:t>
      </w:r>
    </w:p>
    <w:p w14:paraId="3F8AB2CE" w14:textId="77777777" w:rsidR="00BD47B0" w:rsidRDefault="002E6E06">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14:paraId="46FA6A8B" w14:textId="49A6D25D" w:rsidR="00BD47B0" w:rsidRDefault="002E6E06">
      <w:pPr>
        <w:spacing w:line="580" w:lineRule="exact"/>
        <w:ind w:firstLineChars="200" w:firstLine="560"/>
      </w:pPr>
      <w:r>
        <w:rPr>
          <w:rFonts w:ascii="仿宋_GB2312" w:eastAsia="仿宋_GB2312" w:hint="eastAsia"/>
          <w:sz w:val="28"/>
          <w:szCs w:val="28"/>
        </w:rPr>
        <w:t>“普通教育”（款）2024年度年初预算</w:t>
      </w:r>
      <w:r>
        <w:rPr>
          <w:rFonts w:ascii="仿宋_GB2312" w:eastAsia="仿宋_GB2312"/>
          <w:sz w:val="28"/>
          <w:szCs w:val="28"/>
        </w:rPr>
        <w:t>3644.09</w:t>
      </w:r>
      <w:r>
        <w:rPr>
          <w:rFonts w:ascii="仿宋_GB2312" w:eastAsia="仿宋_GB2312" w:hint="eastAsia"/>
          <w:sz w:val="28"/>
          <w:szCs w:val="28"/>
        </w:rPr>
        <w:t>万元，2024年度决算</w:t>
      </w:r>
      <w:r w:rsidR="00EC3010">
        <w:rPr>
          <w:rFonts w:ascii="仿宋_GB2312" w:eastAsia="仿宋_GB2312" w:hint="eastAsia"/>
          <w:sz w:val="28"/>
          <w:szCs w:val="28"/>
        </w:rPr>
        <w:t>3569.58</w:t>
      </w:r>
      <w:r>
        <w:rPr>
          <w:rFonts w:ascii="仿宋_GB2312" w:eastAsia="仿宋_GB2312" w:hint="eastAsia"/>
          <w:sz w:val="28"/>
          <w:szCs w:val="28"/>
        </w:rPr>
        <w:t>万元，完成年初预算的</w:t>
      </w:r>
      <w:r w:rsidR="0050226A">
        <w:rPr>
          <w:rFonts w:ascii="仿宋_GB2312" w:eastAsia="仿宋_GB2312" w:hint="eastAsia"/>
          <w:sz w:val="28"/>
          <w:szCs w:val="28"/>
        </w:rPr>
        <w:t>98.00</w:t>
      </w:r>
      <w:r>
        <w:rPr>
          <w:rFonts w:ascii="仿宋_GB2312" w:eastAsia="仿宋_GB2312" w:hint="eastAsia"/>
          <w:sz w:val="28"/>
          <w:szCs w:val="28"/>
        </w:rPr>
        <w:t>%。主要原因：教师</w:t>
      </w:r>
      <w:r w:rsidR="007E2546">
        <w:rPr>
          <w:rFonts w:ascii="仿宋_GB2312" w:eastAsia="仿宋_GB2312" w:hint="eastAsia"/>
          <w:sz w:val="28"/>
          <w:szCs w:val="28"/>
        </w:rPr>
        <w:t>人员变动及</w:t>
      </w:r>
      <w:r>
        <w:rPr>
          <w:rFonts w:ascii="仿宋_GB2312" w:eastAsia="仿宋_GB2312" w:hint="eastAsia"/>
          <w:sz w:val="28"/>
          <w:szCs w:val="28"/>
        </w:rPr>
        <w:t>工资(核增绩效款等)、社保调整以及项目款（学生实践活动、临时辅助用工等）款项的调整。</w:t>
      </w:r>
    </w:p>
    <w:p w14:paraId="0FD62AF2" w14:textId="77777777" w:rsidR="00BD47B0" w:rsidRDefault="002E6E06">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2、“社会保障和就业支出”(类)2024年度年初预算</w:t>
      </w:r>
      <w:r>
        <w:rPr>
          <w:rFonts w:ascii="仿宋_GB2312" w:eastAsia="仿宋_GB2312"/>
          <w:sz w:val="28"/>
          <w:szCs w:val="28"/>
        </w:rPr>
        <w:t>484.09</w:t>
      </w:r>
      <w:r>
        <w:rPr>
          <w:rFonts w:ascii="仿宋_GB2312" w:eastAsia="仿宋_GB2312" w:hint="eastAsia"/>
          <w:sz w:val="28"/>
          <w:szCs w:val="28"/>
        </w:rPr>
        <w:t>万元，2024年度决算</w:t>
      </w:r>
      <w:r>
        <w:rPr>
          <w:rFonts w:ascii="仿宋_GB2312" w:eastAsia="仿宋_GB2312"/>
          <w:sz w:val="28"/>
          <w:szCs w:val="28"/>
        </w:rPr>
        <w:t>526.26</w:t>
      </w:r>
      <w:r>
        <w:rPr>
          <w:rFonts w:ascii="仿宋_GB2312" w:eastAsia="仿宋_GB2312" w:hint="eastAsia"/>
          <w:sz w:val="28"/>
          <w:szCs w:val="28"/>
        </w:rPr>
        <w:t>万元，完成年初预算的108.71%。</w:t>
      </w:r>
    </w:p>
    <w:p w14:paraId="263A2E3A" w14:textId="77777777" w:rsidR="00BD47B0" w:rsidRDefault="002E6E06">
      <w:pPr>
        <w:spacing w:line="580" w:lineRule="exact"/>
        <w:ind w:firstLineChars="200" w:firstLine="560"/>
        <w:rPr>
          <w:rFonts w:ascii="仿宋_GB2312" w:eastAsia="仿宋_GB2312"/>
          <w:sz w:val="28"/>
          <w:szCs w:val="28"/>
        </w:rPr>
      </w:pPr>
      <w:r>
        <w:rPr>
          <w:rFonts w:ascii="仿宋_GB2312" w:eastAsia="仿宋_GB2312" w:hint="eastAsia"/>
          <w:sz w:val="28"/>
          <w:szCs w:val="28"/>
        </w:rPr>
        <w:t>主要原因：人员调整及教师社保基数调整。</w:t>
      </w:r>
    </w:p>
    <w:p w14:paraId="210C3646" w14:textId="7BA2A7C6" w:rsidR="00BD47B0" w:rsidRDefault="002E6E06">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sidR="005534ED">
        <w:rPr>
          <w:rFonts w:ascii="仿宋_GB2312" w:eastAsia="仿宋_GB2312" w:hint="eastAsia"/>
          <w:sz w:val="28"/>
          <w:szCs w:val="28"/>
        </w:rPr>
        <w:t>“</w:t>
      </w:r>
      <w:r>
        <w:rPr>
          <w:rFonts w:ascii="仿宋_GB2312" w:eastAsia="仿宋_GB2312" w:hint="eastAsia"/>
          <w:sz w:val="28"/>
          <w:szCs w:val="28"/>
        </w:rPr>
        <w:t>卫生健康支出”(类) 2024年度年初预算356.5</w:t>
      </w:r>
      <w:r w:rsidR="00EC3010">
        <w:rPr>
          <w:rFonts w:ascii="仿宋_GB2312" w:eastAsia="仿宋_GB2312" w:hint="eastAsia"/>
          <w:sz w:val="28"/>
          <w:szCs w:val="28"/>
        </w:rPr>
        <w:t>0</w:t>
      </w:r>
      <w:r>
        <w:rPr>
          <w:rFonts w:ascii="仿宋_GB2312" w:eastAsia="仿宋_GB2312" w:hint="eastAsia"/>
          <w:sz w:val="28"/>
          <w:szCs w:val="28"/>
        </w:rPr>
        <w:t>万元，2024年度决算378.37万元，完成年初预算的106.13%</w:t>
      </w:r>
    </w:p>
    <w:p w14:paraId="5CB01BAD" w14:textId="77777777" w:rsidR="005534ED" w:rsidRDefault="002E6E06" w:rsidP="005534ED">
      <w:pPr>
        <w:spacing w:line="580" w:lineRule="exact"/>
        <w:ind w:firstLineChars="200" w:firstLine="560"/>
        <w:rPr>
          <w:rFonts w:ascii="仿宋_GB2312" w:eastAsia="仿宋_GB2312"/>
          <w:sz w:val="28"/>
          <w:szCs w:val="28"/>
        </w:rPr>
      </w:pPr>
      <w:r>
        <w:rPr>
          <w:rFonts w:ascii="仿宋_GB2312" w:eastAsia="仿宋_GB2312" w:hint="eastAsia"/>
          <w:sz w:val="28"/>
          <w:szCs w:val="28"/>
        </w:rPr>
        <w:t>主要原因：医疗保险基数调标、公务员医疗补助基数调标。</w:t>
      </w:r>
    </w:p>
    <w:p w14:paraId="48D8C120" w14:textId="5C15486A" w:rsidR="005534ED" w:rsidRPr="005534ED" w:rsidRDefault="005534ED" w:rsidP="005534ED">
      <w:pPr>
        <w:spacing w:line="580" w:lineRule="exact"/>
        <w:ind w:firstLineChars="200" w:firstLine="560"/>
        <w:rPr>
          <w:rFonts w:ascii="仿宋_GB2312" w:eastAsia="仿宋_GB2312"/>
          <w:sz w:val="28"/>
          <w:szCs w:val="28"/>
        </w:rPr>
      </w:pPr>
      <w:r>
        <w:rPr>
          <w:rFonts w:ascii="仿宋_GB2312" w:eastAsia="仿宋_GB2312" w:hint="eastAsia"/>
          <w:sz w:val="28"/>
          <w:szCs w:val="28"/>
        </w:rPr>
        <w:t>4、“住房保障支出”（类）2024年度年初预算</w:t>
      </w:r>
      <w:r w:rsidR="00EC301C">
        <w:rPr>
          <w:rFonts w:ascii="仿宋_GB2312" w:eastAsia="仿宋_GB2312" w:hint="eastAsia"/>
          <w:sz w:val="28"/>
          <w:szCs w:val="28"/>
        </w:rPr>
        <w:t>306.63</w:t>
      </w:r>
      <w:r>
        <w:rPr>
          <w:rFonts w:ascii="仿宋_GB2312" w:eastAsia="仿宋_GB2312" w:hint="eastAsia"/>
          <w:sz w:val="28"/>
          <w:szCs w:val="28"/>
        </w:rPr>
        <w:t>万元，2024年度决算</w:t>
      </w:r>
      <w:r w:rsidR="00041149">
        <w:rPr>
          <w:rFonts w:ascii="仿宋_GB2312" w:eastAsia="仿宋_GB2312" w:hint="eastAsia"/>
          <w:sz w:val="28"/>
          <w:szCs w:val="28"/>
        </w:rPr>
        <w:t>306.63</w:t>
      </w:r>
      <w:r>
        <w:rPr>
          <w:rFonts w:ascii="仿宋_GB2312" w:eastAsia="仿宋_GB2312" w:hint="eastAsia"/>
          <w:sz w:val="28"/>
          <w:szCs w:val="28"/>
        </w:rPr>
        <w:t>万元，完成年初预算的</w:t>
      </w:r>
      <w:r w:rsidR="00EC301C">
        <w:rPr>
          <w:rFonts w:ascii="仿宋_GB2312" w:eastAsia="仿宋_GB2312" w:hint="eastAsia"/>
          <w:sz w:val="28"/>
          <w:szCs w:val="28"/>
        </w:rPr>
        <w:t>100.00</w:t>
      </w:r>
      <w:r>
        <w:rPr>
          <w:rFonts w:ascii="仿宋_GB2312" w:eastAsia="仿宋_GB2312" w:hint="eastAsia"/>
          <w:sz w:val="28"/>
          <w:szCs w:val="28"/>
        </w:rPr>
        <w:t>%</w:t>
      </w:r>
    </w:p>
    <w:p w14:paraId="2427CC58" w14:textId="77777777" w:rsidR="00BD47B0" w:rsidRDefault="002E6E06">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14:paraId="25D70B6F" w14:textId="77777777" w:rsidR="00BD47B0" w:rsidRDefault="002E6E0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45DE7565" w14:textId="0AB92BC3" w:rsidR="00BD47B0" w:rsidRDefault="004053E2" w:rsidP="005534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w:t>
      </w:r>
      <w:r w:rsidR="005534ED">
        <w:rPr>
          <w:rFonts w:ascii="仿宋_GB2312" w:eastAsia="仿宋_GB2312" w:hint="eastAsia"/>
          <w:sz w:val="28"/>
          <w:szCs w:val="28"/>
        </w:rPr>
        <w:t>无</w:t>
      </w:r>
      <w:r w:rsidRPr="004053E2">
        <w:rPr>
          <w:rFonts w:ascii="仿宋_GB2312" w:eastAsia="仿宋_GB2312" w:hint="eastAsia"/>
          <w:sz w:val="28"/>
          <w:szCs w:val="28"/>
        </w:rPr>
        <w:t>政府性基金预算财政拨款</w:t>
      </w:r>
      <w:r w:rsidR="005534ED">
        <w:rPr>
          <w:rFonts w:ascii="仿宋_GB2312" w:eastAsia="仿宋_GB2312" w:hint="eastAsia"/>
          <w:sz w:val="28"/>
          <w:szCs w:val="28"/>
        </w:rPr>
        <w:t>支出</w:t>
      </w:r>
      <w:r>
        <w:rPr>
          <w:rFonts w:ascii="仿宋_GB2312" w:eastAsia="仿宋_GB2312" w:hint="eastAsia"/>
          <w:sz w:val="28"/>
          <w:szCs w:val="28"/>
        </w:rPr>
        <w:t>。</w:t>
      </w:r>
    </w:p>
    <w:p w14:paraId="6049B10C" w14:textId="77777777" w:rsidR="005534ED" w:rsidRDefault="002E6E06" w:rsidP="005534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r w:rsidR="005534ED">
        <w:rPr>
          <w:rFonts w:ascii="仿宋_GB2312" w:eastAsia="仿宋_GB2312" w:hint="eastAsia"/>
          <w:sz w:val="28"/>
          <w:szCs w:val="28"/>
        </w:rPr>
        <w:t xml:space="preserve">  </w:t>
      </w:r>
    </w:p>
    <w:p w14:paraId="6A4EF3A2" w14:textId="63BCE27D" w:rsidR="005534ED" w:rsidRPr="005534ED" w:rsidRDefault="005534ED" w:rsidP="005534E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本单位无政府性基金预算财政拨款支出。</w:t>
      </w:r>
    </w:p>
    <w:p w14:paraId="016853D0" w14:textId="77777777" w:rsidR="00BD47B0" w:rsidRDefault="002E6E06">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57EEC654" w14:textId="77777777" w:rsidR="005534ED" w:rsidRDefault="005534ED">
      <w:pPr>
        <w:spacing w:line="580" w:lineRule="exact"/>
        <w:ind w:firstLineChars="196" w:firstLine="549"/>
        <w:rPr>
          <w:rFonts w:ascii="仿宋_GB2312" w:eastAsia="仿宋_GB2312"/>
          <w:sz w:val="28"/>
          <w:szCs w:val="28"/>
        </w:rPr>
      </w:pPr>
      <w:r w:rsidRPr="005534ED">
        <w:rPr>
          <w:rFonts w:ascii="仿宋_GB2312" w:eastAsia="仿宋_GB2312" w:hint="eastAsia"/>
          <w:sz w:val="28"/>
          <w:szCs w:val="28"/>
        </w:rPr>
        <w:t>2024年度国有资本经营预算财政拨款收入总计0万元，国有资本经营预算财政拨款支出总计0万元。</w:t>
      </w:r>
    </w:p>
    <w:p w14:paraId="0C032B65" w14:textId="59882B37" w:rsidR="00BD47B0" w:rsidRDefault="002E6E06">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70A46B63" w14:textId="77777777" w:rsidR="00BD47B0" w:rsidRDefault="002E6E06">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4438.75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6EB8A52B" w14:textId="77777777" w:rsidR="00BD47B0" w:rsidRDefault="002E6E06">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3CA54FF1" w14:textId="77777777" w:rsidR="00BD47B0" w:rsidRDefault="002E6E06">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2CF8AAFE" w14:textId="77777777" w:rsidR="00BD47B0" w:rsidRDefault="002E6E06">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5AC48EF7" w14:textId="77777777" w:rsidR="00BD47B0" w:rsidRDefault="002E6E06">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3.6</w:t>
      </w:r>
      <w:r>
        <w:rPr>
          <w:rFonts w:ascii="仿宋_GB2312" w:eastAsia="仿宋_GB2312" w:hint="eastAsia"/>
          <w:sz w:val="28"/>
          <w:szCs w:val="28"/>
        </w:rPr>
        <w:t>万元，比2024年度“三公”经费财政拨款年初预算</w:t>
      </w:r>
      <w:r>
        <w:rPr>
          <w:rFonts w:ascii="仿宋_GB2312" w:eastAsia="仿宋_GB2312"/>
          <w:sz w:val="28"/>
          <w:szCs w:val="28"/>
        </w:rPr>
        <w:t>5.4</w:t>
      </w:r>
      <w:r>
        <w:rPr>
          <w:rFonts w:ascii="仿宋_GB2312" w:eastAsia="仿宋_GB2312" w:hint="eastAsia"/>
          <w:sz w:val="28"/>
          <w:szCs w:val="28"/>
        </w:rPr>
        <w:t>万元</w:t>
      </w:r>
    </w:p>
    <w:p w14:paraId="41AD7884" w14:textId="77777777" w:rsidR="00BD47B0" w:rsidRDefault="002E6E06">
      <w:pPr>
        <w:spacing w:line="560" w:lineRule="exact"/>
        <w:ind w:firstLine="600"/>
        <w:rPr>
          <w:rFonts w:ascii="仿宋_GB2312" w:eastAsia="仿宋_GB2312"/>
          <w:sz w:val="28"/>
          <w:szCs w:val="28"/>
        </w:rPr>
      </w:pPr>
      <w:r>
        <w:rPr>
          <w:rFonts w:ascii="仿宋_GB2312" w:eastAsia="仿宋_GB2312" w:hint="eastAsia"/>
          <w:sz w:val="28"/>
          <w:szCs w:val="28"/>
        </w:rPr>
        <w:t>减少1.80万元。其中：</w:t>
      </w:r>
    </w:p>
    <w:p w14:paraId="36F5312D" w14:textId="77777777" w:rsidR="00BD47B0" w:rsidRDefault="002E6E06">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减无变化，保持一致。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14:paraId="776C614A" w14:textId="77777777" w:rsidR="00BD47B0" w:rsidRDefault="002E6E06">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2.公务接待费。2024年度决算数0万元，比2024年度年初预算数0万元减少0万元。主要原因：本年度无公务接待支出。2024年度公务接待费主要用于公务接待事项。公务接待0批次，公务接待0人次。</w:t>
      </w:r>
    </w:p>
    <w:p w14:paraId="13DD3AD6" w14:textId="2B50BD1E" w:rsidR="00BD47B0" w:rsidRDefault="002E6E06">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3.公务用车购置及运行维护费。2024年度决算数3.60万元，比2024年度年初预算数5.40万元减少1.8万元。其中，公务用车购置费2024年度决算数0万元，主要原因：本年度</w:t>
      </w:r>
      <w:r w:rsidR="004053E2">
        <w:rPr>
          <w:rFonts w:ascii="仿宋_GB2312" w:eastAsia="仿宋_GB2312" w:hint="eastAsia"/>
          <w:sz w:val="28"/>
          <w:szCs w:val="28"/>
        </w:rPr>
        <w:t>无</w:t>
      </w:r>
      <w:r>
        <w:rPr>
          <w:rFonts w:ascii="仿宋_GB2312" w:eastAsia="仿宋_GB2312" w:hint="eastAsia"/>
          <w:sz w:val="28"/>
          <w:szCs w:val="28"/>
        </w:rPr>
        <w:t>新购车辆，2024年度购置（更新）0辆。公务用车运行维护费2024年度决算数3.60万元，主要原因：原因是严格落实公务用车使用规定，认真贯彻厉行节约反对浪费的有关要求，本着节俭高效的原则,进一步加强公务用车管理,减少费用支出。2024年度公务用车保有量</w:t>
      </w:r>
      <w:r>
        <w:rPr>
          <w:rFonts w:ascii="仿宋_GB2312" w:eastAsia="仿宋_GB2312"/>
          <w:sz w:val="28"/>
          <w:szCs w:val="28"/>
        </w:rPr>
        <w:t>2</w:t>
      </w:r>
      <w:r>
        <w:rPr>
          <w:rFonts w:ascii="仿宋_GB2312" w:eastAsia="仿宋_GB2312" w:hint="eastAsia"/>
          <w:sz w:val="28"/>
          <w:szCs w:val="28"/>
        </w:rPr>
        <w:t>辆。</w:t>
      </w:r>
    </w:p>
    <w:p w14:paraId="2926ED66" w14:textId="77777777" w:rsidR="00BD47B0" w:rsidRDefault="002E6E06">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556E2ABC" w14:textId="77777777" w:rsidR="00BD47B0" w:rsidRDefault="002E6E06">
      <w:pPr>
        <w:ind w:left="540"/>
        <w:rPr>
          <w:rFonts w:ascii="仿宋_GB2312" w:eastAsia="仿宋_GB2312"/>
          <w:sz w:val="28"/>
          <w:szCs w:val="28"/>
        </w:rPr>
      </w:pPr>
      <w:r>
        <w:rPr>
          <w:rFonts w:ascii="仿宋_GB2312" w:eastAsia="仿宋_GB2312" w:hint="eastAsia"/>
          <w:sz w:val="28"/>
          <w:szCs w:val="28"/>
        </w:rPr>
        <w:t>本单位不在机关运行经费统计范围之内。</w:t>
      </w:r>
    </w:p>
    <w:p w14:paraId="7E6A4F7A" w14:textId="77777777" w:rsidR="00BD47B0" w:rsidRDefault="002E6E06">
      <w:pPr>
        <w:ind w:left="540"/>
        <w:rPr>
          <w:rFonts w:ascii="黑体" w:eastAsia="黑体"/>
          <w:sz w:val="28"/>
          <w:szCs w:val="28"/>
        </w:rPr>
      </w:pPr>
      <w:r>
        <w:rPr>
          <w:rFonts w:ascii="黑体" w:eastAsia="黑体" w:hint="eastAsia"/>
          <w:sz w:val="28"/>
          <w:szCs w:val="28"/>
        </w:rPr>
        <w:lastRenderedPageBreak/>
        <w:t>三、政府采购支出情况</w:t>
      </w:r>
    </w:p>
    <w:p w14:paraId="4F77EBB6" w14:textId="77777777" w:rsidR="00BD47B0" w:rsidRDefault="002E6E06">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196.06</w:t>
      </w:r>
      <w:r>
        <w:rPr>
          <w:rFonts w:ascii="仿宋_GB2312" w:eastAsia="仿宋_GB2312" w:hint="eastAsia"/>
          <w:sz w:val="28"/>
          <w:szCs w:val="28"/>
        </w:rPr>
        <w:t>万元，其中：政府采购货物支出</w:t>
      </w:r>
      <w:r>
        <w:rPr>
          <w:rFonts w:ascii="仿宋_GB2312" w:eastAsia="仿宋_GB2312"/>
          <w:sz w:val="28"/>
          <w:szCs w:val="28"/>
        </w:rPr>
        <w:t>0.79</w:t>
      </w:r>
      <w:r>
        <w:rPr>
          <w:rFonts w:ascii="仿宋_GB2312" w:eastAsia="仿宋_GB2312" w:hint="eastAsia"/>
          <w:sz w:val="28"/>
          <w:szCs w:val="28"/>
        </w:rPr>
        <w:t>万元，政府采购工程支出0.00万元，政府采购服务支出</w:t>
      </w:r>
      <w:r>
        <w:rPr>
          <w:rFonts w:ascii="仿宋_GB2312" w:eastAsia="仿宋_GB2312"/>
          <w:sz w:val="28"/>
          <w:szCs w:val="28"/>
        </w:rPr>
        <w:t>195.2</w:t>
      </w:r>
      <w:r>
        <w:rPr>
          <w:rFonts w:ascii="仿宋_GB2312" w:eastAsia="仿宋_GB2312" w:hint="eastAsia"/>
          <w:sz w:val="28"/>
          <w:szCs w:val="28"/>
        </w:rPr>
        <w:t>7万元。授予中小企业合同金额</w:t>
      </w:r>
      <w:r>
        <w:rPr>
          <w:rFonts w:ascii="仿宋_GB2312" w:eastAsia="仿宋_GB2312"/>
          <w:sz w:val="28"/>
          <w:szCs w:val="28"/>
        </w:rPr>
        <w:t>194.12</w:t>
      </w:r>
      <w:r>
        <w:rPr>
          <w:rFonts w:ascii="仿宋_GB2312" w:eastAsia="仿宋_GB2312" w:hint="eastAsia"/>
          <w:sz w:val="28"/>
          <w:szCs w:val="28"/>
        </w:rPr>
        <w:t>万元，占政府采购支出总额的99.01%，其中：授予小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194.12</w:t>
      </w:r>
      <w:r>
        <w:rPr>
          <w:rFonts w:ascii="仿宋_GB2312" w:eastAsia="仿宋_GB2312" w:hint="eastAsia"/>
          <w:sz w:val="28"/>
          <w:szCs w:val="28"/>
        </w:rPr>
        <w:t>万元，占政府采购支出总额的</w:t>
      </w:r>
      <w:r>
        <w:rPr>
          <w:rFonts w:ascii="仿宋_GB2312" w:eastAsia="仿宋_GB2312"/>
          <w:sz w:val="28"/>
          <w:szCs w:val="28"/>
        </w:rPr>
        <w:t>99.01</w:t>
      </w:r>
      <w:r>
        <w:rPr>
          <w:rFonts w:ascii="仿宋_GB2312" w:eastAsia="仿宋_GB2312" w:hint="eastAsia"/>
          <w:sz w:val="28"/>
          <w:szCs w:val="28"/>
        </w:rPr>
        <w:t>%。</w:t>
      </w:r>
    </w:p>
    <w:p w14:paraId="469A90A4" w14:textId="77777777" w:rsidR="00BD47B0" w:rsidRDefault="002E6E06">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32ABB028" w14:textId="77777777" w:rsidR="00BD47B0" w:rsidRDefault="002E6E06">
      <w:pPr>
        <w:ind w:firstLineChars="200" w:firstLine="560"/>
        <w:rPr>
          <w:rFonts w:ascii="仿宋_GB2312" w:eastAsia="仿宋_GB2312"/>
          <w:sz w:val="32"/>
          <w:szCs w:val="32"/>
        </w:rPr>
      </w:pPr>
      <w:r>
        <w:rPr>
          <w:rFonts w:ascii="仿宋_GB2312" w:eastAsia="仿宋_GB2312" w:hint="eastAsia"/>
          <w:sz w:val="28"/>
          <w:szCs w:val="28"/>
        </w:rPr>
        <w:t>截至12月31日，北京市第八中学亦庄分校共有车辆2台；单位价值100万元（含）以上的设备0台（套）。</w:t>
      </w:r>
    </w:p>
    <w:p w14:paraId="7F91BA6E" w14:textId="77777777" w:rsidR="00BD47B0" w:rsidRDefault="002E6E06">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14AA0E3E" w14:textId="77777777" w:rsidR="00BD47B0" w:rsidRDefault="002E6E06">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w:t>
      </w:r>
      <w:r>
        <w:rPr>
          <w:rFonts w:ascii="仿宋_GB2312" w:eastAsia="仿宋_GB2312" w:hint="eastAsia"/>
          <w:sz w:val="28"/>
          <w:szCs w:val="28"/>
        </w:rPr>
        <w:t>0万元。</w:t>
      </w:r>
    </w:p>
    <w:p w14:paraId="5AF112CD" w14:textId="77777777" w:rsidR="00BD47B0" w:rsidRDefault="002E6E06">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6D6B17BD" w14:textId="77777777" w:rsidR="00BD47B0" w:rsidRDefault="002E6E06">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07AA2A0" w14:textId="77777777" w:rsidR="00BD47B0" w:rsidRDefault="002E6E06">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3BBD9C6E" w14:textId="77777777" w:rsidR="00BD47B0" w:rsidRDefault="002E6E06">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74270CA9" w14:textId="77777777" w:rsidR="00BD47B0" w:rsidRDefault="002E6E06">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191DB465" w14:textId="77777777" w:rsidR="00BD47B0" w:rsidRDefault="002E6E06">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14:paraId="239E4A0E" w14:textId="77777777" w:rsidR="00BD47B0" w:rsidRDefault="002E6E06">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A8BB9E1" w14:textId="77777777" w:rsidR="00BD47B0" w:rsidRDefault="002E6E06">
      <w:pPr>
        <w:ind w:firstLineChars="150" w:firstLine="420"/>
        <w:rPr>
          <w:rFonts w:ascii="仿宋_GB2312" w:eastAsia="仿宋_GB2312"/>
          <w:sz w:val="28"/>
          <w:szCs w:val="28"/>
        </w:rPr>
      </w:pPr>
      <w:r>
        <w:rPr>
          <w:rFonts w:ascii="仿宋_GB2312" w:eastAsia="仿宋_GB2312" w:hint="eastAsia"/>
          <w:sz w:val="28"/>
          <w:szCs w:val="28"/>
        </w:rPr>
        <w:t>7.教育支出：反映政府教育事务支出。</w:t>
      </w:r>
    </w:p>
    <w:p w14:paraId="2D66A875" w14:textId="77777777" w:rsidR="00BD47B0" w:rsidRDefault="002E6E06">
      <w:pPr>
        <w:ind w:firstLineChars="150" w:firstLine="420"/>
        <w:rPr>
          <w:rFonts w:ascii="仿宋_GB2312" w:eastAsia="仿宋_GB2312"/>
          <w:sz w:val="28"/>
          <w:szCs w:val="28"/>
        </w:rPr>
      </w:pPr>
      <w:r>
        <w:rPr>
          <w:rFonts w:ascii="仿宋_GB2312" w:eastAsia="仿宋_GB2312" w:hint="eastAsia"/>
          <w:sz w:val="28"/>
          <w:szCs w:val="28"/>
        </w:rPr>
        <w:t>8.社会保障和就业支出：反映政府在社会保障与就业方面的支出。</w:t>
      </w:r>
    </w:p>
    <w:p w14:paraId="5659616D" w14:textId="77777777" w:rsidR="00BD47B0" w:rsidRDefault="002E6E06">
      <w:pPr>
        <w:ind w:firstLineChars="150" w:firstLine="420"/>
        <w:rPr>
          <w:rFonts w:ascii="仿宋_GB2312" w:eastAsia="仿宋_GB2312"/>
          <w:sz w:val="28"/>
          <w:szCs w:val="28"/>
        </w:rPr>
      </w:pPr>
      <w:r>
        <w:rPr>
          <w:rFonts w:ascii="仿宋_GB2312" w:eastAsia="仿宋_GB2312" w:hint="eastAsia"/>
          <w:sz w:val="28"/>
          <w:szCs w:val="28"/>
        </w:rPr>
        <w:t>9.卫生健康支出：反映政府卫生健康方面的支出。</w:t>
      </w:r>
    </w:p>
    <w:p w14:paraId="3DFB7308" w14:textId="77777777" w:rsidR="00BD47B0" w:rsidRDefault="00BD47B0">
      <w:pPr>
        <w:rPr>
          <w:rFonts w:ascii="黑体" w:eastAsia="黑体"/>
          <w:sz w:val="32"/>
          <w:szCs w:val="32"/>
        </w:rPr>
      </w:pPr>
    </w:p>
    <w:p w14:paraId="7278CAFA" w14:textId="77777777" w:rsidR="00BD47B0" w:rsidRDefault="00BD47B0">
      <w:pPr>
        <w:tabs>
          <w:tab w:val="center" w:pos="6979"/>
        </w:tabs>
        <w:spacing w:line="380" w:lineRule="exact"/>
        <w:jc w:val="center"/>
        <w:rPr>
          <w:rFonts w:ascii="宋体" w:hAnsi="宋体" w:cs="宋体"/>
          <w:b/>
          <w:bCs/>
          <w:kern w:val="0"/>
          <w:sz w:val="28"/>
          <w:szCs w:val="28"/>
        </w:rPr>
      </w:pPr>
    </w:p>
    <w:p w14:paraId="1F0FC731" w14:textId="77777777" w:rsidR="00BD47B0" w:rsidRDefault="00BD47B0">
      <w:pPr>
        <w:tabs>
          <w:tab w:val="center" w:pos="6979"/>
        </w:tabs>
        <w:spacing w:line="380" w:lineRule="exact"/>
        <w:jc w:val="center"/>
        <w:rPr>
          <w:rFonts w:ascii="宋体" w:hAnsi="宋体" w:cs="宋体"/>
          <w:b/>
          <w:bCs/>
          <w:kern w:val="0"/>
          <w:sz w:val="28"/>
          <w:szCs w:val="28"/>
        </w:rPr>
      </w:pPr>
    </w:p>
    <w:p w14:paraId="3B596BB5" w14:textId="77777777" w:rsidR="00BD47B0" w:rsidRDefault="00BD47B0">
      <w:pPr>
        <w:rPr>
          <w:rFonts w:ascii="黑体" w:eastAsia="黑体"/>
          <w:sz w:val="32"/>
          <w:szCs w:val="32"/>
        </w:rPr>
      </w:pPr>
    </w:p>
    <w:p w14:paraId="7085CE7A" w14:textId="77777777" w:rsidR="00BD47B0" w:rsidRDefault="00BD47B0">
      <w:pPr>
        <w:ind w:firstLineChars="200" w:firstLine="640"/>
        <w:jc w:val="center"/>
        <w:rPr>
          <w:rFonts w:ascii="黑体" w:eastAsia="黑体"/>
          <w:sz w:val="32"/>
          <w:szCs w:val="32"/>
        </w:rPr>
      </w:pPr>
    </w:p>
    <w:p w14:paraId="584F0259" w14:textId="77777777" w:rsidR="00BD47B0" w:rsidRDefault="002E6E06">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14:paraId="6A19FD0D" w14:textId="77777777" w:rsidR="00BD47B0" w:rsidRDefault="00BD47B0">
      <w:pPr>
        <w:ind w:firstLineChars="200" w:firstLine="560"/>
        <w:rPr>
          <w:rFonts w:ascii="黑体" w:eastAsia="黑体"/>
          <w:sz w:val="28"/>
          <w:szCs w:val="28"/>
          <w:highlight w:val="yellow"/>
        </w:rPr>
      </w:pPr>
    </w:p>
    <w:p w14:paraId="020DCB12" w14:textId="77777777" w:rsidR="00BD47B0" w:rsidRDefault="002E6E06">
      <w:pPr>
        <w:pStyle w:val="ac"/>
        <w:ind w:firstLineChars="1900" w:firstLine="532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14:paraId="663421DE" w14:textId="77777777" w:rsidR="00BD47B0" w:rsidRDefault="002E6E06">
      <w:pPr>
        <w:spacing w:line="480" w:lineRule="exact"/>
        <w:ind w:firstLine="420"/>
        <w:rPr>
          <w:rFonts w:ascii="黑体" w:eastAsia="黑体"/>
          <w:sz w:val="28"/>
          <w:szCs w:val="28"/>
        </w:rPr>
      </w:pPr>
      <w:r>
        <w:rPr>
          <w:rFonts w:ascii="黑体" w:eastAsia="黑体" w:hint="eastAsia"/>
          <w:sz w:val="28"/>
          <w:szCs w:val="28"/>
        </w:rPr>
        <w:t xml:space="preserve"> </w:t>
      </w:r>
    </w:p>
    <w:p w14:paraId="7904218E" w14:textId="77777777" w:rsidR="00BD47B0" w:rsidRDefault="00BD47B0">
      <w:pPr>
        <w:spacing w:line="480" w:lineRule="exact"/>
      </w:pPr>
    </w:p>
    <w:sectPr w:rsidR="00BD47B0">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C3872" w14:textId="77777777" w:rsidR="00533234" w:rsidRDefault="00533234">
      <w:r>
        <w:separator/>
      </w:r>
    </w:p>
  </w:endnote>
  <w:endnote w:type="continuationSeparator" w:id="0">
    <w:p w14:paraId="0476097A" w14:textId="77777777" w:rsidR="00533234" w:rsidRDefault="0053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CA79B" w14:textId="77777777" w:rsidR="00BD47B0" w:rsidRDefault="002E6E06">
    <w:pPr>
      <w:pStyle w:val="a7"/>
      <w:framePr w:wrap="around" w:vAnchor="text" w:hAnchor="margin" w:xAlign="center" w:y="1"/>
      <w:rPr>
        <w:rStyle w:val="ab"/>
      </w:rPr>
    </w:pPr>
    <w:r>
      <w:fldChar w:fldCharType="begin"/>
    </w:r>
    <w:r>
      <w:rPr>
        <w:rStyle w:val="ab"/>
      </w:rPr>
      <w:instrText xml:space="preserve">PAGE  </w:instrText>
    </w:r>
    <w:r>
      <w:fldChar w:fldCharType="separate"/>
    </w:r>
    <w:r w:rsidR="00686C49">
      <w:rPr>
        <w:rStyle w:val="ab"/>
        <w:noProof/>
      </w:rPr>
      <w:t>3</w:t>
    </w:r>
    <w:r>
      <w:fldChar w:fldCharType="end"/>
    </w:r>
  </w:p>
  <w:p w14:paraId="27B6E80F" w14:textId="77777777" w:rsidR="00BD47B0" w:rsidRDefault="00BD47B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A67E1" w14:textId="77777777" w:rsidR="00BD47B0" w:rsidRDefault="002E6E06">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14:paraId="2D701FF2" w14:textId="77777777" w:rsidR="00BD47B0" w:rsidRDefault="00BD47B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D3D57" w14:textId="77777777" w:rsidR="00BD47B0" w:rsidRDefault="002E6E06">
    <w:pPr>
      <w:pStyle w:val="a7"/>
      <w:framePr w:wrap="around" w:vAnchor="text" w:hAnchor="margin" w:xAlign="center" w:y="1"/>
      <w:rPr>
        <w:rStyle w:val="ab"/>
      </w:rPr>
    </w:pPr>
    <w:r>
      <w:fldChar w:fldCharType="begin"/>
    </w:r>
    <w:r>
      <w:rPr>
        <w:rStyle w:val="ab"/>
      </w:rPr>
      <w:instrText xml:space="preserve">PAGE  </w:instrText>
    </w:r>
    <w:r>
      <w:fldChar w:fldCharType="separate"/>
    </w:r>
    <w:r w:rsidR="00686C49">
      <w:rPr>
        <w:rStyle w:val="ab"/>
        <w:noProof/>
      </w:rPr>
      <w:t>4</w:t>
    </w:r>
    <w:r>
      <w:fldChar w:fldCharType="end"/>
    </w:r>
  </w:p>
  <w:p w14:paraId="57A71416" w14:textId="77777777" w:rsidR="00BD47B0" w:rsidRDefault="00BD47B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A5355A" w14:textId="77777777" w:rsidR="00533234" w:rsidRDefault="00533234">
      <w:r>
        <w:separator/>
      </w:r>
    </w:p>
  </w:footnote>
  <w:footnote w:type="continuationSeparator" w:id="0">
    <w:p w14:paraId="335F9F2D" w14:textId="77777777" w:rsidR="00533234" w:rsidRDefault="005332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1149"/>
    <w:rsid w:val="0004719C"/>
    <w:rsid w:val="00047F6E"/>
    <w:rsid w:val="00050307"/>
    <w:rsid w:val="00051B00"/>
    <w:rsid w:val="000601B1"/>
    <w:rsid w:val="00063034"/>
    <w:rsid w:val="00066E19"/>
    <w:rsid w:val="0006752F"/>
    <w:rsid w:val="00067754"/>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74"/>
    <w:rsid w:val="001E29A9"/>
    <w:rsid w:val="001F5540"/>
    <w:rsid w:val="001F5857"/>
    <w:rsid w:val="00206EC3"/>
    <w:rsid w:val="0021047C"/>
    <w:rsid w:val="00211E4E"/>
    <w:rsid w:val="00213D1C"/>
    <w:rsid w:val="00214C3A"/>
    <w:rsid w:val="00217517"/>
    <w:rsid w:val="00222628"/>
    <w:rsid w:val="002253CB"/>
    <w:rsid w:val="002267A6"/>
    <w:rsid w:val="002326DE"/>
    <w:rsid w:val="00234314"/>
    <w:rsid w:val="00241724"/>
    <w:rsid w:val="002422D1"/>
    <w:rsid w:val="0024390C"/>
    <w:rsid w:val="002441F4"/>
    <w:rsid w:val="00244204"/>
    <w:rsid w:val="002448A4"/>
    <w:rsid w:val="00245A0A"/>
    <w:rsid w:val="00246C42"/>
    <w:rsid w:val="002515CC"/>
    <w:rsid w:val="00253EC4"/>
    <w:rsid w:val="00254515"/>
    <w:rsid w:val="00262D9D"/>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A7164"/>
    <w:rsid w:val="002B19D0"/>
    <w:rsid w:val="002B3682"/>
    <w:rsid w:val="002B5464"/>
    <w:rsid w:val="002C0443"/>
    <w:rsid w:val="002C12FB"/>
    <w:rsid w:val="002C24BC"/>
    <w:rsid w:val="002D03C6"/>
    <w:rsid w:val="002D0FDF"/>
    <w:rsid w:val="002D3955"/>
    <w:rsid w:val="002D68A9"/>
    <w:rsid w:val="002E06AE"/>
    <w:rsid w:val="002E4B75"/>
    <w:rsid w:val="002E68DD"/>
    <w:rsid w:val="002E6E06"/>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37DB"/>
    <w:rsid w:val="00354630"/>
    <w:rsid w:val="00365A24"/>
    <w:rsid w:val="003712DB"/>
    <w:rsid w:val="00373DDC"/>
    <w:rsid w:val="00382A86"/>
    <w:rsid w:val="00383BCC"/>
    <w:rsid w:val="00385243"/>
    <w:rsid w:val="003925D4"/>
    <w:rsid w:val="0039318C"/>
    <w:rsid w:val="00393366"/>
    <w:rsid w:val="003933EE"/>
    <w:rsid w:val="003937DC"/>
    <w:rsid w:val="00393D75"/>
    <w:rsid w:val="003A2F2D"/>
    <w:rsid w:val="003A43AC"/>
    <w:rsid w:val="003A4EB6"/>
    <w:rsid w:val="003A7AE9"/>
    <w:rsid w:val="003A7BC5"/>
    <w:rsid w:val="003A7FF5"/>
    <w:rsid w:val="003B0352"/>
    <w:rsid w:val="003B15F7"/>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3E2"/>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226A"/>
    <w:rsid w:val="005052FA"/>
    <w:rsid w:val="005069E1"/>
    <w:rsid w:val="00507E59"/>
    <w:rsid w:val="005122B5"/>
    <w:rsid w:val="0052381C"/>
    <w:rsid w:val="00533234"/>
    <w:rsid w:val="005346B3"/>
    <w:rsid w:val="0054051C"/>
    <w:rsid w:val="005406FE"/>
    <w:rsid w:val="00546A84"/>
    <w:rsid w:val="00547BE2"/>
    <w:rsid w:val="005534ED"/>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12F8"/>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6C49"/>
    <w:rsid w:val="00687AE5"/>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2546"/>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08F"/>
    <w:rsid w:val="0086238C"/>
    <w:rsid w:val="008655DC"/>
    <w:rsid w:val="0086732D"/>
    <w:rsid w:val="00870183"/>
    <w:rsid w:val="00875726"/>
    <w:rsid w:val="00877F10"/>
    <w:rsid w:val="0088225D"/>
    <w:rsid w:val="00882F8D"/>
    <w:rsid w:val="00884FB0"/>
    <w:rsid w:val="008853A5"/>
    <w:rsid w:val="008944DA"/>
    <w:rsid w:val="00894784"/>
    <w:rsid w:val="00894D78"/>
    <w:rsid w:val="008A6A18"/>
    <w:rsid w:val="008B033F"/>
    <w:rsid w:val="008B4003"/>
    <w:rsid w:val="008B7443"/>
    <w:rsid w:val="008C179E"/>
    <w:rsid w:val="008C2379"/>
    <w:rsid w:val="008C4FF7"/>
    <w:rsid w:val="008C5C4C"/>
    <w:rsid w:val="008C7056"/>
    <w:rsid w:val="008C706D"/>
    <w:rsid w:val="008D3145"/>
    <w:rsid w:val="008D736C"/>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3C74"/>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463A3"/>
    <w:rsid w:val="00A5063C"/>
    <w:rsid w:val="00A52749"/>
    <w:rsid w:val="00A5422E"/>
    <w:rsid w:val="00A56EC1"/>
    <w:rsid w:val="00A634EC"/>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0389"/>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1040"/>
    <w:rsid w:val="00B336E9"/>
    <w:rsid w:val="00B33AE5"/>
    <w:rsid w:val="00B35BE5"/>
    <w:rsid w:val="00B46965"/>
    <w:rsid w:val="00B5420F"/>
    <w:rsid w:val="00B54ED0"/>
    <w:rsid w:val="00B55D47"/>
    <w:rsid w:val="00B6204E"/>
    <w:rsid w:val="00B649EC"/>
    <w:rsid w:val="00B707E4"/>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7B0"/>
    <w:rsid w:val="00BD4E35"/>
    <w:rsid w:val="00BE34CA"/>
    <w:rsid w:val="00BF116A"/>
    <w:rsid w:val="00C0623C"/>
    <w:rsid w:val="00C06A07"/>
    <w:rsid w:val="00C132B6"/>
    <w:rsid w:val="00C17647"/>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77A4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180D"/>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336C"/>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209"/>
    <w:rsid w:val="00EB571A"/>
    <w:rsid w:val="00EC2804"/>
    <w:rsid w:val="00EC3010"/>
    <w:rsid w:val="00EC301C"/>
    <w:rsid w:val="00EC44CF"/>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A06"/>
    <w:rsid w:val="00F27B2A"/>
    <w:rsid w:val="00F31762"/>
    <w:rsid w:val="00F345D3"/>
    <w:rsid w:val="00F356ED"/>
    <w:rsid w:val="00F359B5"/>
    <w:rsid w:val="00F4144F"/>
    <w:rsid w:val="00F433F3"/>
    <w:rsid w:val="00F46197"/>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509E"/>
    <w:rsid w:val="016C71F3"/>
    <w:rsid w:val="02F120AB"/>
    <w:rsid w:val="032B5196"/>
    <w:rsid w:val="04C3537C"/>
    <w:rsid w:val="079004AC"/>
    <w:rsid w:val="0AB1114D"/>
    <w:rsid w:val="0BA148CA"/>
    <w:rsid w:val="0C1165C4"/>
    <w:rsid w:val="0D6D544B"/>
    <w:rsid w:val="0DD136FE"/>
    <w:rsid w:val="0F542F2C"/>
    <w:rsid w:val="0F8E2C57"/>
    <w:rsid w:val="1059665E"/>
    <w:rsid w:val="10AC13BA"/>
    <w:rsid w:val="145A6C1B"/>
    <w:rsid w:val="14B73493"/>
    <w:rsid w:val="167A2FF9"/>
    <w:rsid w:val="17081314"/>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637484F"/>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8947B74"/>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2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hAnsi="Times New Roman" w:cs="Times New Roman"/>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hAnsi="Times New Roman" w:cs="Times New Roman"/>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xmlns:c16r2="http://schemas.microsoft.com/office/drawing/2015/06/chart">
              <c:ext xmlns:c16="http://schemas.microsoft.com/office/drawing/2014/chart" uri="{C3380CC4-5D6E-409C-BE32-E72D297353CC}">
                <c16:uniqueId val="{00000001-4E73-4EC6-BBC2-AF42CC931AD3}"/>
              </c:ext>
            </c:extLst>
          </c:dPt>
          <c:dPt>
            <c:idx val="1"/>
            <c:bubble3D val="0"/>
            <c:spPr>
              <a:solidFill>
                <a:srgbClr val="C0504D"/>
              </a:solidFill>
              <a:ln w="19050">
                <a:solidFill>
                  <a:srgbClr val="FFFFFF"/>
                </a:solidFill>
              </a:ln>
              <a:effectLst/>
            </c:spPr>
            <c:extLst xmlns:c16r2="http://schemas.microsoft.com/office/drawing/2015/06/chart">
              <c:ext xmlns:c16="http://schemas.microsoft.com/office/drawing/2014/chart" uri="{C3380CC4-5D6E-409C-BE32-E72D297353CC}">
                <c16:uniqueId val="{00000003-4E73-4EC6-BBC2-AF42CC931AD3}"/>
              </c:ext>
            </c:extLst>
          </c:dPt>
          <c:dPt>
            <c:idx val="2"/>
            <c:bubble3D val="0"/>
            <c:spPr>
              <a:solidFill>
                <a:srgbClr val="9BBB59"/>
              </a:solidFill>
              <a:ln w="19050">
                <a:solidFill>
                  <a:srgbClr val="FFFFFF"/>
                </a:solidFill>
              </a:ln>
              <a:effectLst/>
            </c:spPr>
            <c:extLst xmlns:c16r2="http://schemas.microsoft.com/office/drawing/2015/06/chart">
              <c:ext xmlns:c16="http://schemas.microsoft.com/office/drawing/2014/chart" uri="{C3380CC4-5D6E-409C-BE32-E72D297353CC}">
                <c16:uniqueId val="{00000005-4E73-4EC6-BBC2-AF42CC931AD3}"/>
              </c:ext>
            </c:extLst>
          </c:dPt>
          <c:dPt>
            <c:idx val="3"/>
            <c:bubble3D val="0"/>
            <c:spPr>
              <a:solidFill>
                <a:srgbClr val="8064A2"/>
              </a:solidFill>
              <a:ln w="19050">
                <a:solidFill>
                  <a:srgbClr val="FFFFFF"/>
                </a:solidFill>
              </a:ln>
              <a:effectLst/>
            </c:spPr>
            <c:extLst xmlns:c16r2="http://schemas.microsoft.com/office/drawing/2015/06/chart">
              <c:ext xmlns:c16="http://schemas.microsoft.com/office/drawing/2014/chart" uri="{C3380CC4-5D6E-409C-BE32-E72D297353CC}">
                <c16:uniqueId val="{00000007-4E73-4EC6-BBC2-AF42CC931AD3}"/>
              </c:ext>
            </c:extLst>
          </c:dPt>
          <c:dPt>
            <c:idx val="4"/>
            <c:bubble3D val="0"/>
            <c:spPr>
              <a:solidFill>
                <a:srgbClr val="4BACC6"/>
              </a:solidFill>
              <a:ln w="19050">
                <a:solidFill>
                  <a:srgbClr val="FFFFFF"/>
                </a:solidFill>
              </a:ln>
              <a:effectLst/>
            </c:spPr>
            <c:extLst xmlns:c16r2="http://schemas.microsoft.com/office/drawing/2015/06/chart">
              <c:ext xmlns:c16="http://schemas.microsoft.com/office/drawing/2014/chart" uri="{C3380CC4-5D6E-409C-BE32-E72D297353CC}">
                <c16:uniqueId val="{00000009-4E73-4EC6-BBC2-AF42CC931AD3}"/>
              </c:ext>
            </c:extLst>
          </c:dPt>
          <c:dLbls>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E73-4EC6-BBC2-AF42CC931AD3}"/>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4E73-4EC6-BBC2-AF42CC931AD3}"/>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4E73-4EC6-BBC2-AF42CC931AD3}"/>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xmlns:c16r2="http://schemas.microsoft.com/office/drawing/2015/06/char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4438.75</c:v>
                </c:pt>
                <c:pt idx="1">
                  <c:v>342.09</c:v>
                </c:pt>
                <c:pt idx="2">
                  <c:v>0</c:v>
                </c:pt>
                <c:pt idx="3">
                  <c:v>0</c:v>
                </c:pt>
                <c:pt idx="4">
                  <c:v>0</c:v>
                </c:pt>
              </c:numCache>
            </c:numRef>
          </c:val>
          <c:extLst xmlns:c16r2="http://schemas.microsoft.com/office/drawing/2015/06/chart">
            <c:ext xmlns:c16="http://schemas.microsoft.com/office/drawing/2014/chart" uri="{C3380CC4-5D6E-409C-BE32-E72D297353CC}">
              <c16:uniqueId val="{0000000A-4E73-4EC6-BBC2-AF42CC931AD3}"/>
            </c:ext>
          </c:extLst>
        </c:ser>
        <c:dLbls>
          <c:showLegendKey val="0"/>
          <c:showVal val="0"/>
          <c:showCatName val="0"/>
          <c:showSerName val="0"/>
          <c:showPercent val="1"/>
          <c:showBubbleSize val="0"/>
          <c:showLeaderLines val="1"/>
        </c:dLbls>
        <c:firstSliceAng val="0"/>
      </c:pieChart>
      <c:spPr>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11</Pages>
  <Words>580</Words>
  <Characters>3309</Characters>
  <Application>Microsoft Office Word</Application>
  <DocSecurity>0</DocSecurity>
  <Lines>27</Lines>
  <Paragraphs>7</Paragraphs>
  <ScaleCrop>false</ScaleCrop>
  <Company>微软中国</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创辉源</cp:lastModifiedBy>
  <cp:revision>13</cp:revision>
  <cp:lastPrinted>2020-08-09T03:39:00Z</cp:lastPrinted>
  <dcterms:created xsi:type="dcterms:W3CDTF">2025-09-18T06:03:00Z</dcterms:created>
  <dcterms:modified xsi:type="dcterms:W3CDTF">2025-09-29T07:06:00Z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eyJoZGlkIjoiNGEyNDkwNjM1ZGY2YzAxMTNhNzNkNDkwNjMyNTBkMGIiLCJ1c2VySWQiOiIyNzM3NzY0NjUifQ==</vt:lpwstr>
  </property>
</Properties>
</file>