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left="558" w:leftChars="266" w:firstLine="0" w:firstLineChars="0"/>
        <w:rPr>
          <w:rFonts w:hint="eastAsia" w:ascii="仿宋_GB2312" w:hAnsi="Times New Roman" w:eastAsia="仿宋_GB2312"/>
          <w:kern w:val="0"/>
          <w:sz w:val="28"/>
          <w:szCs w:val="28"/>
        </w:rPr>
      </w:pPr>
      <w:r>
        <w:rPr>
          <w:rFonts w:hint="eastAsia" w:ascii="仿宋_GB2312" w:hAnsi="Times New Roman" w:eastAsia="仿宋_GB2312"/>
          <w:kern w:val="0"/>
          <w:sz w:val="28"/>
          <w:szCs w:val="28"/>
        </w:rPr>
        <w:t>单位职责：1.全面贯彻国家教育方针，培养学生的创新精神与实践能力，使之成为社会主义事业的建设者和接班人。2．负责所属服务片学生义务教育阶段中小学教育教学工作。 机构设置情况：内设机构：工会、校医室、财务室，教务处、总务处、少先队办、德育处、安保办等。</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bookmarkStart w:id="0" w:name="OLE_LINK2"/>
      <w:r>
        <w:rPr>
          <w:rFonts w:hint="eastAsia" w:ascii="仿宋_GB2312" w:eastAsia="仿宋_GB2312"/>
          <w:sz w:val="28"/>
          <w:szCs w:val="28"/>
          <w:lang w:val="en-US" w:eastAsia="zh-CN"/>
        </w:rPr>
        <w:t>11097.65</w:t>
      </w:r>
      <w:bookmarkEnd w:id="0"/>
      <w:r>
        <w:rPr>
          <w:rFonts w:hint="eastAsia" w:ascii="仿宋_GB2312" w:eastAsia="仿宋_GB2312"/>
          <w:sz w:val="28"/>
          <w:szCs w:val="28"/>
        </w:rPr>
        <w:t>万元，</w:t>
      </w:r>
      <w:r>
        <w:rPr>
          <w:rFonts w:ascii="仿宋_GB2312" w:eastAsia="仿宋_GB2312"/>
          <w:sz w:val="28"/>
          <w:szCs w:val="28"/>
        </w:rPr>
        <w:t>比上年</w:t>
      </w:r>
      <w:bookmarkStart w:id="1" w:name="OLE_LINK3"/>
      <w:r>
        <w:rPr>
          <w:rFonts w:hint="eastAsia" w:ascii="仿宋_GB2312" w:eastAsia="仿宋_GB2312"/>
          <w:sz w:val="28"/>
          <w:szCs w:val="28"/>
        </w:rPr>
        <w:t>减少</w:t>
      </w:r>
      <w:r>
        <w:rPr>
          <w:rFonts w:hint="eastAsia" w:ascii="仿宋_GB2312" w:eastAsia="仿宋_GB2312"/>
          <w:sz w:val="28"/>
          <w:szCs w:val="28"/>
          <w:lang w:val="en-US" w:eastAsia="zh-CN"/>
        </w:rPr>
        <w:t>1091.42</w:t>
      </w:r>
      <w:bookmarkEnd w:id="1"/>
      <w:r>
        <w:rPr>
          <w:rFonts w:hint="eastAsia" w:ascii="仿宋_GB2312" w:eastAsia="仿宋_GB2312"/>
          <w:sz w:val="28"/>
          <w:szCs w:val="28"/>
        </w:rPr>
        <w:t>万元，下降</w:t>
      </w:r>
      <w:r>
        <w:rPr>
          <w:rFonts w:hint="eastAsia" w:ascii="仿宋_GB2312" w:eastAsia="仿宋_GB2312"/>
          <w:sz w:val="28"/>
          <w:szCs w:val="28"/>
          <w:lang w:val="en-US" w:eastAsia="zh-CN"/>
        </w:rPr>
        <w:t>8.95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11097.65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1091.42</w:t>
      </w:r>
      <w:r>
        <w:rPr>
          <w:rFonts w:hint="eastAsia" w:ascii="仿宋_GB2312" w:eastAsia="仿宋_GB2312"/>
          <w:sz w:val="28"/>
          <w:szCs w:val="28"/>
        </w:rPr>
        <w:t>万元，下降</w:t>
      </w:r>
      <w:r>
        <w:rPr>
          <w:rFonts w:hint="eastAsia" w:ascii="仿宋_GB2312" w:eastAsia="仿宋_GB2312"/>
          <w:sz w:val="28"/>
          <w:szCs w:val="28"/>
          <w:lang w:val="en-US" w:eastAsia="zh-CN"/>
        </w:rPr>
        <w:t>8.95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11097.65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10678.87</w:t>
      </w:r>
      <w:r>
        <w:rPr>
          <w:rFonts w:hint="eastAsia" w:ascii="仿宋_GB2312" w:eastAsia="仿宋_GB2312"/>
          <w:sz w:val="28"/>
          <w:szCs w:val="28"/>
        </w:rPr>
        <w:t>万元，占收入合计的</w:t>
      </w:r>
      <w:r>
        <w:rPr>
          <w:rFonts w:hint="eastAsia" w:ascii="仿宋_GB2312" w:eastAsia="仿宋_GB2312"/>
          <w:sz w:val="28"/>
          <w:szCs w:val="28"/>
          <w:lang w:val="en-US" w:eastAsia="zh-CN"/>
        </w:rPr>
        <w:t>96.23</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rPr>
        <w:t>418</w:t>
      </w:r>
      <w:r>
        <w:rPr>
          <w:rFonts w:hint="eastAsia" w:ascii="仿宋_GB2312" w:eastAsia="仿宋_GB2312"/>
          <w:sz w:val="28"/>
          <w:szCs w:val="28"/>
          <w:lang w:val="en-US" w:eastAsia="zh-CN"/>
        </w:rPr>
        <w:t>.</w:t>
      </w:r>
      <w:r>
        <w:rPr>
          <w:rFonts w:hint="eastAsia" w:ascii="仿宋_GB2312" w:eastAsia="仿宋_GB2312"/>
          <w:sz w:val="28"/>
          <w:szCs w:val="28"/>
        </w:rPr>
        <w:t>7</w:t>
      </w:r>
      <w:r>
        <w:rPr>
          <w:rFonts w:hint="eastAsia" w:ascii="仿宋_GB2312" w:eastAsia="仿宋_GB2312"/>
          <w:sz w:val="28"/>
          <w:szCs w:val="28"/>
          <w:lang w:val="en-US" w:eastAsia="zh-CN"/>
        </w:rPr>
        <w:t>8</w:t>
      </w:r>
      <w:r>
        <w:rPr>
          <w:rFonts w:hint="eastAsia" w:ascii="仿宋_GB2312" w:eastAsia="仿宋_GB2312"/>
          <w:sz w:val="28"/>
          <w:szCs w:val="28"/>
        </w:rPr>
        <w:t>万元，占收入合计的</w:t>
      </w:r>
      <w:r>
        <w:rPr>
          <w:rFonts w:hint="eastAsia" w:ascii="仿宋_GB2312" w:eastAsia="仿宋_GB2312"/>
          <w:sz w:val="28"/>
          <w:szCs w:val="28"/>
          <w:lang w:val="en-US" w:eastAsia="zh-CN"/>
        </w:rPr>
        <w:t>3.77</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hint="eastAsia" w:ascii="仿宋_GB2312" w:eastAsia="黑体"/>
          <w:color w:val="000000"/>
          <w:sz w:val="32"/>
          <w:lang w:eastAsia="zh-CN"/>
        </w:rPr>
        <w:drawing>
          <wp:inline distT="0" distB="0" distL="114300" distR="114300">
            <wp:extent cx="4747260" cy="3029585"/>
            <wp:effectExtent l="4445" t="4445" r="10795" b="1397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11097.65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1091.42</w:t>
      </w:r>
      <w:r>
        <w:rPr>
          <w:rFonts w:hint="eastAsia" w:ascii="仿宋_GB2312" w:eastAsia="仿宋_GB2312"/>
          <w:sz w:val="28"/>
          <w:szCs w:val="28"/>
        </w:rPr>
        <w:t>万元，下降</w:t>
      </w:r>
      <w:r>
        <w:rPr>
          <w:rFonts w:hint="eastAsia" w:ascii="仿宋_GB2312" w:eastAsia="仿宋_GB2312"/>
          <w:sz w:val="28"/>
          <w:szCs w:val="28"/>
          <w:lang w:val="en-US" w:eastAsia="zh-CN"/>
        </w:rPr>
        <w:t>8.95</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6725.33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58.44</w:t>
      </w:r>
      <w:r>
        <w:rPr>
          <w:rFonts w:hint="eastAsia" w:ascii="仿宋_GB2312" w:eastAsia="仿宋_GB2312"/>
          <w:sz w:val="28"/>
          <w:szCs w:val="28"/>
          <w:highlight w:val="none"/>
        </w:rPr>
        <w:t>%；项目支出</w:t>
      </w:r>
      <w:r>
        <w:rPr>
          <w:rFonts w:ascii="仿宋_GB2312" w:eastAsia="仿宋_GB2312"/>
          <w:sz w:val="28"/>
          <w:szCs w:val="28"/>
          <w:highlight w:val="none"/>
        </w:rPr>
        <w:t>4783.45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41.56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w:t>
      </w:r>
      <w:r>
        <w:rPr>
          <w:rFonts w:hint="eastAsia" w:ascii="仿宋_GB2312" w:eastAsia="仿宋_GB2312"/>
          <w:sz w:val="28"/>
          <w:szCs w:val="28"/>
          <w:lang w:val="en-US" w:eastAsia="zh-CN"/>
        </w:rPr>
        <w:t>11097.65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1091.42</w:t>
      </w:r>
      <w:r>
        <w:rPr>
          <w:rFonts w:hint="eastAsia" w:ascii="仿宋_GB2312" w:eastAsia="仿宋_GB2312"/>
          <w:sz w:val="28"/>
          <w:szCs w:val="28"/>
        </w:rPr>
        <w:t>万元，下降</w:t>
      </w:r>
      <w:r>
        <w:rPr>
          <w:rFonts w:hint="eastAsia" w:ascii="仿宋_GB2312" w:eastAsia="仿宋_GB2312"/>
          <w:sz w:val="28"/>
          <w:szCs w:val="28"/>
          <w:lang w:val="en-US" w:eastAsia="zh-CN"/>
        </w:rPr>
        <w:t>8.95</w:t>
      </w:r>
      <w:r>
        <w:rPr>
          <w:rFonts w:hint="eastAsia" w:ascii="仿宋_GB2312" w:eastAsia="仿宋_GB2312"/>
          <w:sz w:val="28"/>
          <w:szCs w:val="28"/>
        </w:rPr>
        <w:t>%。主要原因：学校新建校舍，改扩建工程项目</w:t>
      </w:r>
      <w:r>
        <w:rPr>
          <w:rFonts w:hint="eastAsia" w:ascii="仿宋_GB2312" w:eastAsia="仿宋_GB2312"/>
          <w:sz w:val="28"/>
          <w:szCs w:val="28"/>
          <w:lang w:eastAsia="zh-CN"/>
        </w:rPr>
        <w:t>结算完成，项目资金拨款减少</w:t>
      </w:r>
      <w:r>
        <w:rPr>
          <w:rFonts w:hint="eastAsia" w:ascii="仿宋_GB2312" w:eastAsia="仿宋_GB2312"/>
          <w:sz w:val="28"/>
          <w:szCs w:val="28"/>
        </w:rPr>
        <w:t>。2024年度支出总计</w:t>
      </w:r>
      <w:bookmarkStart w:id="2" w:name="OLE_LINK10"/>
      <w:r>
        <w:rPr>
          <w:rFonts w:hint="eastAsia" w:ascii="仿宋_GB2312" w:eastAsia="仿宋_GB2312"/>
          <w:sz w:val="28"/>
          <w:szCs w:val="28"/>
          <w:lang w:val="en-US" w:eastAsia="zh-CN"/>
        </w:rPr>
        <w:t>11508.79</w:t>
      </w:r>
      <w:bookmarkEnd w:id="2"/>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836.22</w:t>
      </w:r>
      <w:r>
        <w:rPr>
          <w:rFonts w:hint="eastAsia" w:ascii="仿宋_GB2312" w:eastAsia="仿宋_GB2312"/>
          <w:sz w:val="28"/>
          <w:szCs w:val="28"/>
        </w:rPr>
        <w:t>万元，下降</w:t>
      </w:r>
      <w:r>
        <w:rPr>
          <w:rFonts w:hint="eastAsia" w:ascii="仿宋_GB2312" w:eastAsia="仿宋_GB2312"/>
          <w:sz w:val="28"/>
          <w:szCs w:val="28"/>
          <w:lang w:val="en-US" w:eastAsia="zh-CN"/>
        </w:rPr>
        <w:t>6.77</w:t>
      </w:r>
      <w:r>
        <w:rPr>
          <w:rFonts w:hint="eastAsia" w:ascii="仿宋_GB2312" w:eastAsia="仿宋_GB2312"/>
          <w:sz w:val="28"/>
          <w:szCs w:val="28"/>
        </w:rPr>
        <w:t>%。主要原因：学校新建校舍，改扩建工程项目</w:t>
      </w:r>
      <w:r>
        <w:rPr>
          <w:rFonts w:hint="eastAsia" w:ascii="仿宋_GB2312" w:eastAsia="仿宋_GB2312"/>
          <w:sz w:val="28"/>
          <w:szCs w:val="28"/>
          <w:lang w:eastAsia="zh-CN"/>
        </w:rPr>
        <w:t>结算完成，项目资金支出减少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11508.79</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bookmarkStart w:id="3" w:name="OLE_LINK16"/>
      <w:r>
        <w:rPr>
          <w:rFonts w:hint="eastAsia" w:ascii="仿宋_GB2312" w:eastAsia="仿宋_GB2312"/>
          <w:sz w:val="28"/>
          <w:szCs w:val="28"/>
          <w:lang w:val="en-US" w:eastAsia="zh-CN"/>
        </w:rPr>
        <w:t>9436.3</w:t>
      </w:r>
      <w:bookmarkEnd w:id="3"/>
      <w:r>
        <w:rPr>
          <w:rFonts w:hint="eastAsia" w:ascii="仿宋_GB2312" w:eastAsia="仿宋_GB2312"/>
          <w:sz w:val="28"/>
          <w:szCs w:val="28"/>
        </w:rPr>
        <w:t>万元，</w:t>
      </w:r>
      <w:bookmarkStart w:id="4" w:name="OLE_LINK11"/>
      <w:r>
        <w:rPr>
          <w:rFonts w:hint="eastAsia" w:ascii="仿宋_GB2312" w:eastAsia="仿宋_GB2312"/>
          <w:sz w:val="28"/>
          <w:szCs w:val="28"/>
        </w:rPr>
        <w:t>占本年财政拨款支出</w:t>
      </w:r>
      <w:r>
        <w:rPr>
          <w:rFonts w:hint="eastAsia" w:ascii="仿宋_GB2312" w:eastAsia="仿宋_GB2312"/>
          <w:sz w:val="28"/>
          <w:szCs w:val="28"/>
          <w:lang w:val="en-US" w:eastAsia="zh-CN"/>
        </w:rPr>
        <w:t>81.99</w:t>
      </w:r>
      <w:r>
        <w:rPr>
          <w:rFonts w:hint="eastAsia" w:ascii="仿宋_GB2312" w:eastAsia="仿宋_GB2312"/>
          <w:sz w:val="28"/>
          <w:szCs w:val="28"/>
        </w:rPr>
        <w:t>%</w:t>
      </w:r>
      <w:bookmarkEnd w:id="4"/>
      <w:r>
        <w:rPr>
          <w:rFonts w:hint="eastAsia" w:ascii="仿宋_GB2312" w:eastAsia="仿宋_GB2312"/>
          <w:sz w:val="28"/>
          <w:szCs w:val="28"/>
        </w:rPr>
        <w:t>；社会保障和就业支出</w:t>
      </w:r>
      <w:bookmarkStart w:id="5" w:name="OLE_LINK20"/>
      <w:r>
        <w:rPr>
          <w:rFonts w:hint="eastAsia" w:ascii="仿宋_GB2312" w:eastAsia="仿宋_GB2312"/>
          <w:sz w:val="28"/>
          <w:szCs w:val="28"/>
          <w:lang w:val="en-US" w:eastAsia="zh-CN"/>
        </w:rPr>
        <w:t>702.63</w:t>
      </w:r>
      <w:bookmarkEnd w:id="5"/>
      <w:r>
        <w:rPr>
          <w:rFonts w:hint="eastAsia" w:ascii="仿宋_GB2312" w:eastAsia="仿宋_GB2312"/>
          <w:sz w:val="28"/>
          <w:szCs w:val="28"/>
          <w:lang w:val="en-US"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6.11</w:t>
      </w:r>
      <w:r>
        <w:rPr>
          <w:rFonts w:hint="eastAsia" w:ascii="仿宋_GB2312" w:eastAsia="仿宋_GB2312"/>
          <w:sz w:val="28"/>
          <w:szCs w:val="28"/>
        </w:rPr>
        <w:t>%</w:t>
      </w:r>
      <w:r>
        <w:rPr>
          <w:rFonts w:hint="eastAsia" w:ascii="仿宋_GB2312" w:eastAsia="仿宋_GB2312"/>
          <w:sz w:val="28"/>
          <w:szCs w:val="28"/>
          <w:lang w:eastAsia="zh-CN"/>
        </w:rPr>
        <w:t>，卫生健康支出</w:t>
      </w:r>
      <w:bookmarkStart w:id="6" w:name="OLE_LINK19"/>
      <w:r>
        <w:rPr>
          <w:rFonts w:hint="eastAsia" w:ascii="仿宋_GB2312" w:eastAsia="仿宋_GB2312"/>
          <w:sz w:val="28"/>
          <w:szCs w:val="28"/>
          <w:lang w:val="en-US" w:eastAsia="zh-CN"/>
        </w:rPr>
        <w:t>537.72</w:t>
      </w:r>
      <w:bookmarkEnd w:id="6"/>
      <w:r>
        <w:rPr>
          <w:rFonts w:hint="eastAsia" w:ascii="仿宋_GB2312" w:eastAsia="仿宋_GB2312"/>
          <w:sz w:val="28"/>
          <w:szCs w:val="28"/>
        </w:rPr>
        <w:t>万元，占本年财政拨款支出</w:t>
      </w:r>
      <w:r>
        <w:rPr>
          <w:rFonts w:hint="eastAsia" w:ascii="仿宋_GB2312" w:eastAsia="仿宋_GB2312"/>
          <w:sz w:val="28"/>
          <w:szCs w:val="28"/>
          <w:lang w:val="en-US" w:eastAsia="zh-CN"/>
        </w:rPr>
        <w:t>4.67</w:t>
      </w:r>
      <w:r>
        <w:rPr>
          <w:rFonts w:hint="eastAsia" w:ascii="仿宋_GB2312" w:eastAsia="仿宋_GB2312"/>
          <w:sz w:val="28"/>
          <w:szCs w:val="28"/>
        </w:rPr>
        <w:t>%</w:t>
      </w:r>
      <w:r>
        <w:rPr>
          <w:rFonts w:hint="eastAsia" w:ascii="仿宋_GB2312" w:eastAsia="仿宋_GB2312"/>
          <w:sz w:val="28"/>
          <w:szCs w:val="28"/>
          <w:lang w:eastAsia="zh-CN"/>
        </w:rPr>
        <w:t>，</w:t>
      </w:r>
      <w:bookmarkStart w:id="7" w:name="OLE_LINK17"/>
      <w:bookmarkStart w:id="8" w:name="OLE_LINK12"/>
      <w:r>
        <w:rPr>
          <w:rFonts w:hint="eastAsia" w:ascii="仿宋_GB2312" w:eastAsia="仿宋_GB2312"/>
          <w:sz w:val="28"/>
          <w:szCs w:val="28"/>
          <w:lang w:eastAsia="zh-CN"/>
        </w:rPr>
        <w:t>节能环保支出</w:t>
      </w:r>
      <w:bookmarkEnd w:id="7"/>
      <w:r>
        <w:rPr>
          <w:rFonts w:hint="eastAsia" w:ascii="仿宋_GB2312" w:eastAsia="仿宋_GB2312"/>
          <w:sz w:val="28"/>
          <w:szCs w:val="28"/>
          <w:lang w:val="en-US" w:eastAsia="zh-CN"/>
        </w:rPr>
        <w:t>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0.08</w:t>
      </w:r>
      <w:r>
        <w:rPr>
          <w:rFonts w:hint="eastAsia" w:ascii="仿宋_GB2312" w:eastAsia="仿宋_GB2312"/>
          <w:sz w:val="28"/>
          <w:szCs w:val="28"/>
        </w:rPr>
        <w:t>%</w:t>
      </w:r>
      <w:bookmarkEnd w:id="8"/>
      <w:r>
        <w:rPr>
          <w:rFonts w:hint="eastAsia" w:ascii="仿宋_GB2312" w:eastAsia="仿宋_GB2312"/>
          <w:sz w:val="28"/>
          <w:szCs w:val="28"/>
          <w:lang w:eastAsia="zh-CN"/>
        </w:rPr>
        <w:t>，</w:t>
      </w:r>
      <w:bookmarkStart w:id="9" w:name="OLE_LINK13"/>
      <w:r>
        <w:rPr>
          <w:rFonts w:hint="eastAsia" w:ascii="仿宋_GB2312" w:eastAsia="仿宋_GB2312"/>
          <w:sz w:val="28"/>
          <w:szCs w:val="28"/>
          <w:lang w:eastAsia="zh-CN"/>
        </w:rPr>
        <w:t>城乡社区支出</w:t>
      </w:r>
      <w:bookmarkStart w:id="10" w:name="OLE_LINK21"/>
      <w:r>
        <w:rPr>
          <w:rFonts w:hint="eastAsia" w:ascii="仿宋_GB2312" w:eastAsia="仿宋_GB2312"/>
          <w:sz w:val="28"/>
          <w:szCs w:val="28"/>
          <w:lang w:val="en-US" w:eastAsia="zh-CN"/>
        </w:rPr>
        <w:t>418.78</w:t>
      </w:r>
      <w:bookmarkEnd w:id="10"/>
      <w:r>
        <w:rPr>
          <w:rFonts w:hint="eastAsia" w:ascii="仿宋_GB2312" w:eastAsia="仿宋_GB2312"/>
          <w:sz w:val="28"/>
          <w:szCs w:val="28"/>
        </w:rPr>
        <w:t>万元，占本年财政拨款支出</w:t>
      </w:r>
      <w:r>
        <w:rPr>
          <w:rFonts w:hint="eastAsia" w:ascii="仿宋_GB2312" w:eastAsia="仿宋_GB2312"/>
          <w:sz w:val="28"/>
          <w:szCs w:val="28"/>
          <w:lang w:val="en-US" w:eastAsia="zh-CN"/>
        </w:rPr>
        <w:t>3.64</w:t>
      </w:r>
      <w:r>
        <w:rPr>
          <w:rFonts w:hint="eastAsia" w:ascii="仿宋_GB2312" w:eastAsia="仿宋_GB2312"/>
          <w:sz w:val="28"/>
          <w:szCs w:val="28"/>
        </w:rPr>
        <w:t>%</w:t>
      </w:r>
      <w:bookmarkEnd w:id="9"/>
      <w:r>
        <w:rPr>
          <w:rFonts w:hint="eastAsia" w:ascii="仿宋_GB2312" w:eastAsia="仿宋_GB2312"/>
          <w:sz w:val="28"/>
          <w:szCs w:val="28"/>
          <w:lang w:eastAsia="zh-CN"/>
        </w:rPr>
        <w:t>，</w:t>
      </w:r>
      <w:bookmarkStart w:id="11" w:name="OLE_LINK18"/>
      <w:r>
        <w:rPr>
          <w:rFonts w:hint="eastAsia" w:ascii="仿宋_GB2312" w:eastAsia="仿宋_GB2312"/>
          <w:sz w:val="28"/>
          <w:szCs w:val="28"/>
          <w:lang w:eastAsia="zh-CN"/>
        </w:rPr>
        <w:t>住房保障支出</w:t>
      </w:r>
      <w:bookmarkEnd w:id="11"/>
      <w:bookmarkStart w:id="12" w:name="OLE_LINK22"/>
      <w:r>
        <w:rPr>
          <w:rFonts w:hint="eastAsia" w:ascii="仿宋_GB2312" w:eastAsia="仿宋_GB2312"/>
          <w:sz w:val="28"/>
          <w:szCs w:val="28"/>
          <w:lang w:val="en-US" w:eastAsia="zh-CN"/>
        </w:rPr>
        <w:t>403.36</w:t>
      </w:r>
      <w:bookmarkEnd w:id="12"/>
      <w:r>
        <w:rPr>
          <w:rFonts w:hint="eastAsia" w:ascii="仿宋_GB2312" w:eastAsia="仿宋_GB2312"/>
          <w:sz w:val="28"/>
          <w:szCs w:val="28"/>
        </w:rPr>
        <w:t>万元，占本年财政拨款支出</w:t>
      </w:r>
      <w:r>
        <w:rPr>
          <w:rFonts w:hint="eastAsia" w:ascii="仿宋_GB2312" w:eastAsia="仿宋_GB2312"/>
          <w:sz w:val="28"/>
          <w:szCs w:val="28"/>
          <w:lang w:val="en-US" w:eastAsia="zh-CN"/>
        </w:rPr>
        <w:t>3.51</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9230.64</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9436.3</w:t>
      </w:r>
      <w:r>
        <w:rPr>
          <w:rFonts w:hint="eastAsia" w:ascii="仿宋_GB2312" w:eastAsia="仿宋_GB2312"/>
          <w:sz w:val="28"/>
          <w:szCs w:val="28"/>
        </w:rPr>
        <w:t>万元，</w:t>
      </w:r>
      <w:bookmarkStart w:id="13" w:name="OLE_LINK14"/>
      <w:r>
        <w:rPr>
          <w:rFonts w:hint="eastAsia" w:ascii="仿宋_GB2312" w:eastAsia="仿宋_GB2312"/>
          <w:sz w:val="28"/>
          <w:szCs w:val="28"/>
          <w:lang w:eastAsia="zh-CN"/>
        </w:rPr>
        <w:t>其中：普通教育</w:t>
      </w:r>
      <w:r>
        <w:rPr>
          <w:rFonts w:hint="eastAsia" w:ascii="仿宋_GB2312" w:eastAsia="仿宋_GB2312"/>
          <w:sz w:val="28"/>
          <w:szCs w:val="28"/>
          <w:lang w:val="en-US" w:eastAsia="zh-CN"/>
        </w:rPr>
        <w:t>2024年初预算9230.64</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9436.3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102.23</w:t>
      </w:r>
      <w:r>
        <w:rPr>
          <w:rFonts w:hint="eastAsia" w:ascii="仿宋_GB2312" w:eastAsia="仿宋_GB2312"/>
          <w:sz w:val="28"/>
          <w:szCs w:val="28"/>
        </w:rPr>
        <w:t>%</w:t>
      </w:r>
      <w:bookmarkEnd w:id="13"/>
      <w:r>
        <w:rPr>
          <w:rFonts w:hint="eastAsia" w:ascii="仿宋_GB2312" w:eastAsia="仿宋_GB2312"/>
          <w:sz w:val="28"/>
          <w:szCs w:val="28"/>
        </w:rPr>
        <w:t>。</w:t>
      </w:r>
      <w:r>
        <w:rPr>
          <w:rFonts w:hint="eastAsia" w:ascii="仿宋_GB2312" w:eastAsia="仿宋_GB2312"/>
          <w:sz w:val="28"/>
          <w:szCs w:val="28"/>
          <w:lang w:eastAsia="zh-CN"/>
        </w:rPr>
        <w:t>主要原因是学校规模增大，项目类经费有所增加的原因。</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711.79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702.63</w:t>
      </w:r>
      <w:r>
        <w:rPr>
          <w:rFonts w:hint="eastAsia" w:ascii="仿宋_GB2312" w:eastAsia="仿宋_GB2312"/>
          <w:sz w:val="28"/>
          <w:szCs w:val="28"/>
        </w:rPr>
        <w:t>万元，</w:t>
      </w:r>
      <w:r>
        <w:rPr>
          <w:rFonts w:hint="eastAsia" w:ascii="仿宋_GB2312" w:eastAsia="仿宋_GB2312"/>
          <w:sz w:val="28"/>
          <w:szCs w:val="28"/>
          <w:lang w:eastAsia="zh-CN"/>
        </w:rPr>
        <w:t>其中</w:t>
      </w:r>
      <w:r>
        <w:rPr>
          <w:rFonts w:hint="eastAsia" w:ascii="仿宋_GB2312" w:eastAsia="仿宋_GB2312"/>
          <w:sz w:val="28"/>
          <w:szCs w:val="28"/>
          <w:lang w:val="en-US" w:eastAsia="zh-CN"/>
        </w:rPr>
        <w:t>:</w:t>
      </w:r>
      <w:r>
        <w:rPr>
          <w:rFonts w:hint="eastAsia" w:ascii="仿宋_GB2312" w:eastAsia="仿宋_GB2312"/>
          <w:sz w:val="28"/>
          <w:szCs w:val="28"/>
          <w:lang w:eastAsia="zh-CN"/>
        </w:rPr>
        <w:t>行政事业养老支出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711.79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702.63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98.71</w:t>
      </w:r>
      <w:r>
        <w:rPr>
          <w:rFonts w:hint="eastAsia" w:ascii="仿宋_GB2312" w:eastAsia="仿宋_GB2312"/>
          <w:sz w:val="28"/>
          <w:szCs w:val="28"/>
        </w:rPr>
        <w:t>%。</w:t>
      </w:r>
      <w:r>
        <w:rPr>
          <w:rFonts w:hint="eastAsia" w:ascii="仿宋_GB2312" w:eastAsia="仿宋_GB2312"/>
          <w:sz w:val="28"/>
          <w:szCs w:val="28"/>
          <w:lang w:eastAsia="zh-CN"/>
        </w:rPr>
        <w:t>主要原因是养老保险基数有所调整。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533.58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537.72</w:t>
      </w:r>
      <w:r>
        <w:rPr>
          <w:rFonts w:hint="eastAsia" w:ascii="仿宋_GB2312" w:eastAsia="仿宋_GB2312"/>
          <w:sz w:val="28"/>
          <w:szCs w:val="28"/>
        </w:rPr>
        <w:t>万元，</w:t>
      </w:r>
      <w:r>
        <w:rPr>
          <w:rFonts w:hint="eastAsia" w:ascii="仿宋_GB2312" w:eastAsia="仿宋_GB2312"/>
          <w:sz w:val="28"/>
          <w:szCs w:val="28"/>
          <w:lang w:eastAsia="zh-CN"/>
        </w:rPr>
        <w:t>其中</w:t>
      </w:r>
      <w:r>
        <w:rPr>
          <w:rFonts w:hint="eastAsia" w:ascii="仿宋_GB2312" w:eastAsia="仿宋_GB2312"/>
          <w:sz w:val="28"/>
          <w:szCs w:val="28"/>
          <w:lang w:val="en-US" w:eastAsia="zh-CN"/>
        </w:rPr>
        <w:t>:</w:t>
      </w:r>
      <w:r>
        <w:rPr>
          <w:rFonts w:hint="eastAsia" w:ascii="仿宋_GB2312" w:eastAsia="仿宋_GB2312"/>
          <w:sz w:val="28"/>
          <w:szCs w:val="28"/>
          <w:lang w:eastAsia="zh-CN"/>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533.58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537.72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100.78</w:t>
      </w:r>
      <w:r>
        <w:rPr>
          <w:rFonts w:hint="eastAsia" w:ascii="仿宋_GB2312" w:eastAsia="仿宋_GB2312"/>
          <w:sz w:val="28"/>
          <w:szCs w:val="28"/>
        </w:rPr>
        <w:t>%。主要原因：新入职教职工，社保公积金基数调整等人员经费的增资。</w:t>
      </w:r>
    </w:p>
    <w:p>
      <w:pPr>
        <w:spacing w:line="580" w:lineRule="exact"/>
        <w:ind w:firstLine="560" w:firstLineChars="200"/>
        <w:rPr>
          <w:rFonts w:hint="eastAsia" w:ascii="仿宋_GB2312" w:eastAsia="仿宋_GB2312"/>
          <w:sz w:val="28"/>
          <w:szCs w:val="28"/>
        </w:rPr>
      </w:pPr>
      <w:bookmarkStart w:id="14" w:name="OLE_LINK15"/>
      <w:r>
        <w:rPr>
          <w:rFonts w:hint="eastAsia" w:ascii="仿宋_GB2312" w:eastAsia="仿宋_GB2312"/>
          <w:sz w:val="28"/>
          <w:szCs w:val="28"/>
        </w:rPr>
        <w:t>4、“</w:t>
      </w:r>
      <w:r>
        <w:rPr>
          <w:rFonts w:hint="eastAsia" w:ascii="仿宋_GB2312" w:eastAsia="仿宋_GB2312"/>
          <w:sz w:val="28"/>
          <w:szCs w:val="28"/>
          <w:lang w:eastAsia="zh-CN"/>
        </w:rPr>
        <w:t>节能环保支出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10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w:t>
      </w:r>
      <w:r>
        <w:rPr>
          <w:rFonts w:hint="eastAsia" w:ascii="仿宋_GB2312" w:eastAsia="仿宋_GB2312"/>
          <w:sz w:val="28"/>
          <w:szCs w:val="28"/>
        </w:rPr>
        <w:t>万元，</w:t>
      </w:r>
      <w:r>
        <w:rPr>
          <w:rFonts w:hint="eastAsia" w:ascii="仿宋_GB2312" w:eastAsia="仿宋_GB2312"/>
          <w:sz w:val="28"/>
          <w:szCs w:val="28"/>
          <w:lang w:eastAsia="zh-CN"/>
        </w:rPr>
        <w:t>其中</w:t>
      </w:r>
      <w:r>
        <w:rPr>
          <w:rFonts w:hint="eastAsia" w:ascii="仿宋_GB2312" w:eastAsia="仿宋_GB2312"/>
          <w:sz w:val="28"/>
          <w:szCs w:val="28"/>
          <w:lang w:val="en-US" w:eastAsia="zh-CN"/>
        </w:rPr>
        <w:t>:</w:t>
      </w:r>
      <w:r>
        <w:rPr>
          <w:rFonts w:hint="eastAsia" w:ascii="仿宋_GB2312" w:eastAsia="仿宋_GB2312"/>
          <w:sz w:val="28"/>
          <w:szCs w:val="28"/>
          <w:lang w:eastAsia="zh-CN"/>
        </w:rPr>
        <w:t>污染防治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10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w:t>
      </w:r>
      <w:r>
        <w:rPr>
          <w:rFonts w:hint="eastAsia" w:ascii="仿宋_GB2312" w:eastAsia="仿宋_GB2312"/>
          <w:sz w:val="28"/>
          <w:szCs w:val="28"/>
        </w:rPr>
        <w:t>%。主要原因：</w:t>
      </w:r>
      <w:r>
        <w:rPr>
          <w:rFonts w:hint="eastAsia" w:ascii="仿宋_GB2312" w:eastAsia="仿宋_GB2312"/>
          <w:sz w:val="28"/>
          <w:szCs w:val="28"/>
          <w:lang w:eastAsia="zh-CN"/>
        </w:rPr>
        <w:t>项目未完成，计划在第二年结算完毕</w:t>
      </w:r>
      <w:r>
        <w:rPr>
          <w:rFonts w:hint="eastAsia" w:ascii="仿宋_GB2312" w:eastAsia="仿宋_GB2312"/>
          <w:sz w:val="28"/>
          <w:szCs w:val="28"/>
        </w:rPr>
        <w:t>。</w:t>
      </w:r>
    </w:p>
    <w:bookmarkEnd w:id="14"/>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、“城乡社区支出”202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390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bookmarkStart w:id="15" w:name="OLE_LINK23"/>
      <w:r>
        <w:rPr>
          <w:rFonts w:hint="eastAsia" w:ascii="仿宋_GB2312" w:eastAsia="仿宋_GB2312"/>
          <w:sz w:val="28"/>
          <w:szCs w:val="28"/>
          <w:lang w:val="en-US" w:eastAsia="zh-CN"/>
        </w:rPr>
        <w:t>418.78</w:t>
      </w:r>
      <w:bookmarkEnd w:id="15"/>
      <w:r>
        <w:rPr>
          <w:rFonts w:hint="eastAsia" w:ascii="仿宋_GB2312" w:eastAsia="仿宋_GB2312"/>
          <w:sz w:val="28"/>
          <w:szCs w:val="28"/>
        </w:rPr>
        <w:t>万元，</w:t>
      </w:r>
      <w:r>
        <w:rPr>
          <w:rFonts w:hint="eastAsia" w:ascii="仿宋_GB2312" w:eastAsia="仿宋_GB2312"/>
          <w:sz w:val="28"/>
          <w:szCs w:val="28"/>
          <w:lang w:eastAsia="zh-CN"/>
        </w:rPr>
        <w:t>其中</w:t>
      </w:r>
      <w:r>
        <w:rPr>
          <w:rFonts w:hint="eastAsia" w:ascii="仿宋_GB2312" w:eastAsia="仿宋_GB2312"/>
          <w:sz w:val="28"/>
          <w:szCs w:val="28"/>
          <w:lang w:val="en-US" w:eastAsia="zh-CN"/>
        </w:rPr>
        <w:t>:</w:t>
      </w:r>
      <w:r>
        <w:rPr>
          <w:rFonts w:hint="eastAsia" w:ascii="仿宋_GB2312" w:eastAsia="仿宋_GB2312"/>
          <w:sz w:val="28"/>
          <w:szCs w:val="28"/>
          <w:lang w:eastAsia="zh-CN"/>
        </w:rPr>
        <w:t>国有土地使用权出让收入安排的支出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390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418.78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107.38</w:t>
      </w:r>
      <w:r>
        <w:rPr>
          <w:rFonts w:hint="eastAsia" w:ascii="仿宋_GB2312" w:eastAsia="仿宋_GB2312"/>
          <w:sz w:val="28"/>
          <w:szCs w:val="28"/>
        </w:rPr>
        <w:t>%。主要原因：</w:t>
      </w:r>
      <w:r>
        <w:rPr>
          <w:rFonts w:hint="eastAsia" w:ascii="仿宋_GB2312" w:eastAsia="仿宋_GB2312"/>
          <w:sz w:val="28"/>
          <w:szCs w:val="28"/>
          <w:lang w:eastAsia="zh-CN"/>
        </w:rPr>
        <w:t>小学楼加固改造项目拨款资金增加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w:t>
      </w:r>
      <w:bookmarkStart w:id="16" w:name="OLE_LINK1"/>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403.36</w:t>
      </w:r>
      <w:r>
        <w:rPr>
          <w:rFonts w:hint="eastAsia" w:ascii="仿宋_GB2312" w:eastAsia="仿宋_GB2312"/>
          <w:sz w:val="28"/>
          <w:szCs w:val="28"/>
        </w:rPr>
        <w:t>万元</w:t>
      </w:r>
      <w:bookmarkEnd w:id="16"/>
      <w:r>
        <w:rPr>
          <w:rFonts w:hint="eastAsia" w:ascii="仿宋_GB2312" w:eastAsia="仿宋_GB2312"/>
          <w:sz w:val="28"/>
          <w:szCs w:val="28"/>
        </w:rPr>
        <w:t>，</w:t>
      </w:r>
      <w:r>
        <w:rPr>
          <w:rFonts w:hint="eastAsia" w:ascii="仿宋_GB2312" w:eastAsia="仿宋_GB2312"/>
          <w:sz w:val="28"/>
          <w:szCs w:val="28"/>
          <w:lang w:eastAsia="zh-CN"/>
        </w:rPr>
        <w:t>其中</w:t>
      </w:r>
      <w:r>
        <w:rPr>
          <w:rFonts w:hint="eastAsia" w:ascii="仿宋_GB2312" w:eastAsia="仿宋_GB2312"/>
          <w:sz w:val="28"/>
          <w:szCs w:val="28"/>
          <w:lang w:val="en-US" w:eastAsia="zh-CN"/>
        </w:rPr>
        <w:t>:</w:t>
      </w:r>
      <w:bookmarkStart w:id="18" w:name="_GoBack"/>
      <w:bookmarkEnd w:id="18"/>
      <w:r>
        <w:rPr>
          <w:rFonts w:hint="eastAsia" w:ascii="仿宋_GB2312" w:eastAsia="仿宋_GB2312"/>
          <w:sz w:val="28"/>
          <w:szCs w:val="28"/>
          <w:lang w:eastAsia="zh-CN"/>
        </w:rPr>
        <w:t>住房改革支出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403.36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住房保障作为上年结转，不算在年初预算中</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418.78</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418.78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3.64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1.“城乡社区支出”（类，下同）2024年度决算</w:t>
      </w:r>
      <w:bookmarkStart w:id="17" w:name="OLE_LINK25"/>
      <w:r>
        <w:rPr>
          <w:rFonts w:hint="eastAsia" w:ascii="仿宋_GB2312" w:eastAsia="仿宋_GB2312"/>
          <w:sz w:val="28"/>
          <w:szCs w:val="28"/>
          <w:lang w:val="en-US" w:eastAsia="zh-CN"/>
        </w:rPr>
        <w:t>418.78</w:t>
      </w:r>
      <w:bookmarkEnd w:id="17"/>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28.78</w:t>
      </w:r>
      <w:r>
        <w:rPr>
          <w:rFonts w:hint="eastAsia" w:ascii="仿宋_GB2312" w:eastAsia="仿宋_GB2312"/>
          <w:sz w:val="28"/>
          <w:szCs w:val="28"/>
        </w:rPr>
        <w:t>万元，增长</w:t>
      </w:r>
      <w:r>
        <w:rPr>
          <w:rFonts w:hint="eastAsia" w:ascii="仿宋_GB2312" w:eastAsia="仿宋_GB2312"/>
          <w:sz w:val="28"/>
          <w:szCs w:val="28"/>
          <w:lang w:val="en-US" w:eastAsia="zh-CN"/>
        </w:rPr>
        <w:t>7.38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“城市建设支出”（款，下同）2024年度决算</w:t>
      </w:r>
      <w:r>
        <w:rPr>
          <w:rFonts w:hint="eastAsia" w:ascii="仿宋_GB2312" w:eastAsia="仿宋_GB2312"/>
          <w:sz w:val="28"/>
          <w:szCs w:val="28"/>
          <w:lang w:val="en-US" w:eastAsia="zh-CN"/>
        </w:rPr>
        <w:t>418.78</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28.78</w:t>
      </w:r>
      <w:r>
        <w:rPr>
          <w:rFonts w:hint="eastAsia" w:ascii="仿宋_GB2312" w:eastAsia="仿宋_GB2312"/>
          <w:sz w:val="28"/>
          <w:szCs w:val="28"/>
        </w:rPr>
        <w:t>万元，增长</w:t>
      </w:r>
      <w:r>
        <w:rPr>
          <w:rFonts w:hint="eastAsia" w:ascii="仿宋_GB2312" w:eastAsia="仿宋_GB2312"/>
          <w:sz w:val="28"/>
          <w:szCs w:val="28"/>
          <w:lang w:val="en-US" w:eastAsia="zh-CN"/>
        </w:rPr>
        <w:t>7.38</w:t>
      </w:r>
      <w:r>
        <w:rPr>
          <w:rFonts w:hint="eastAsia" w:ascii="仿宋_GB2312" w:eastAsia="仿宋_GB2312"/>
          <w:sz w:val="28"/>
          <w:szCs w:val="28"/>
        </w:rPr>
        <w:t>%。主要原因：</w:t>
      </w:r>
      <w:r>
        <w:rPr>
          <w:rFonts w:hint="eastAsia" w:ascii="仿宋_GB2312" w:eastAsia="仿宋_GB2312"/>
          <w:sz w:val="28"/>
          <w:szCs w:val="28"/>
          <w:lang w:eastAsia="zh-CN"/>
        </w:rPr>
        <w:t>增加了</w:t>
      </w:r>
      <w:r>
        <w:rPr>
          <w:rFonts w:hint="eastAsia" w:ascii="仿宋_GB2312" w:eastAsia="仿宋_GB2312"/>
          <w:sz w:val="28"/>
          <w:szCs w:val="28"/>
        </w:rPr>
        <w:t>改扩建配套市政工程</w:t>
      </w:r>
      <w:r>
        <w:rPr>
          <w:rFonts w:hint="eastAsia" w:ascii="仿宋_GB2312" w:eastAsia="仿宋_GB2312"/>
          <w:sz w:val="28"/>
          <w:szCs w:val="28"/>
          <w:lang w:eastAsia="zh-CN"/>
        </w:rPr>
        <w:t>款</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left="279" w:leftChars="133" w:firstLine="268" w:firstLineChars="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6725.33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9.94</w:t>
      </w:r>
      <w:r>
        <w:rPr>
          <w:rFonts w:hint="eastAsia" w:ascii="仿宋_GB2312" w:eastAsia="仿宋_GB2312"/>
          <w:sz w:val="28"/>
          <w:szCs w:val="28"/>
        </w:rPr>
        <w:t>万元减少</w:t>
      </w:r>
      <w:r>
        <w:rPr>
          <w:rFonts w:hint="eastAsia" w:ascii="仿宋_GB2312" w:eastAsia="仿宋_GB2312"/>
          <w:sz w:val="28"/>
          <w:szCs w:val="28"/>
          <w:lang w:val="en-US" w:eastAsia="zh-CN"/>
        </w:rPr>
        <w:t>6.34</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4.54万</w:t>
      </w:r>
      <w:r>
        <w:rPr>
          <w:rFonts w:hint="eastAsia" w:ascii="仿宋_GB2312" w:eastAsia="仿宋_GB2312"/>
          <w:sz w:val="28"/>
          <w:szCs w:val="28"/>
        </w:rPr>
        <w:t>元减少</w:t>
      </w:r>
      <w:r>
        <w:rPr>
          <w:rFonts w:hint="eastAsia" w:ascii="仿宋_GB2312" w:eastAsia="仿宋_GB2312"/>
          <w:sz w:val="28"/>
          <w:szCs w:val="28"/>
          <w:lang w:val="en-US" w:eastAsia="zh-CN"/>
        </w:rPr>
        <w:t>4.54</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3.6</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w:t>
      </w:r>
      <w:r>
        <w:rPr>
          <w:rFonts w:hint="eastAsia" w:ascii="仿宋_GB2312" w:eastAsia="仿宋_GB2312"/>
          <w:sz w:val="28"/>
          <w:szCs w:val="28"/>
          <w:highlight w:val="none"/>
        </w:rPr>
        <w:t>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3.6</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pPr>
        <w:pStyle w:val="2"/>
        <w:numPr>
          <w:ilvl w:val="0"/>
          <w:numId w:val="0"/>
        </w:numPr>
        <w:rPr>
          <w:rFonts w:hint="eastAsia"/>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pBdr>
          <w:bottom w:val="single" w:color="FFFFFF" w:sz="4" w:space="31"/>
        </w:pBdr>
        <w:spacing w:line="600" w:lineRule="exact"/>
        <w:ind w:firstLine="560" w:firstLineChars="200"/>
        <w:outlineLvl w:val="0"/>
        <w:rPr>
          <w:rFonts w:hint="eastAsia"/>
        </w:rPr>
      </w:pPr>
      <w:r>
        <w:rPr>
          <w:rFonts w:hint="eastAsia" w:ascii="仿宋_GB2312" w:hAnsi="Times New Roman" w:eastAsia="仿宋_GB2312"/>
          <w:sz w:val="28"/>
          <w:szCs w:val="28"/>
        </w:rPr>
        <w:t>本单位不在机关运行经费统计范围之内</w:t>
      </w:r>
    </w:p>
    <w:p>
      <w:pPr>
        <w:numPr>
          <w:ilvl w:val="0"/>
          <w:numId w:val="1"/>
        </w:numPr>
        <w:pBdr>
          <w:bottom w:val="single" w:color="FFFFFF" w:sz="4" w:space="31"/>
        </w:pBdr>
        <w:spacing w:line="600" w:lineRule="exact"/>
        <w:ind w:firstLine="560" w:firstLineChars="200"/>
        <w:outlineLvl w:val="0"/>
        <w:rPr>
          <w:rFonts w:hint="eastAsia" w:ascii="黑体" w:eastAsia="黑体"/>
          <w:sz w:val="28"/>
          <w:szCs w:val="28"/>
        </w:rPr>
      </w:pPr>
      <w:r>
        <w:rPr>
          <w:rFonts w:hint="eastAsia" w:ascii="黑体" w:eastAsia="黑体"/>
          <w:sz w:val="28"/>
          <w:szCs w:val="28"/>
        </w:rPr>
        <w:t>政府采购支出情况</w:t>
      </w:r>
    </w:p>
    <w:p>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48</w:t>
      </w:r>
      <w:r>
        <w:rPr>
          <w:rFonts w:hint="eastAsia" w:ascii="仿宋_GB2312" w:eastAsia="仿宋_GB2312"/>
          <w:sz w:val="28"/>
          <w:szCs w:val="28"/>
        </w:rPr>
        <w:t>万元。授予中小企业合同金额</w:t>
      </w:r>
      <w:r>
        <w:rPr>
          <w:rFonts w:ascii="仿宋_GB2312" w:eastAsia="仿宋_GB2312"/>
          <w:sz w:val="28"/>
          <w:szCs w:val="28"/>
        </w:rPr>
        <w:t>48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1"/>
        </w:numPr>
        <w:pBdr>
          <w:bottom w:val="single" w:color="FFFFFF" w:sz="4" w:space="31"/>
        </w:pBdr>
        <w:spacing w:line="600" w:lineRule="exact"/>
        <w:ind w:left="0" w:leftChars="0" w:firstLine="560" w:firstLineChars="200"/>
        <w:outlineLvl w:val="0"/>
        <w:rPr>
          <w:rFonts w:hint="eastAsia" w:ascii="黑体" w:eastAsia="黑体"/>
          <w:sz w:val="28"/>
          <w:szCs w:val="28"/>
          <w:highlight w:val="none"/>
        </w:rPr>
      </w:pPr>
      <w:r>
        <w:rPr>
          <w:rFonts w:hint="eastAsia" w:ascii="黑体" w:eastAsia="黑体"/>
          <w:sz w:val="28"/>
          <w:szCs w:val="28"/>
          <w:highlight w:val="none"/>
        </w:rPr>
        <w:t>国有资产占用情况</w:t>
      </w:r>
    </w:p>
    <w:p>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val="en-US" w:eastAsia="zh-CN"/>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12月31日，首都师范大学附属中学大兴北校区</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val="en-US" w:eastAsia="zh-CN"/>
        </w:rPr>
        <w:t xml:space="preserve"> </w:t>
      </w:r>
    </w:p>
    <w:p>
      <w:pPr>
        <w:numPr>
          <w:ilvl w:val="0"/>
          <w:numId w:val="1"/>
        </w:numPr>
        <w:pBdr>
          <w:bottom w:val="single" w:color="FFFFFF" w:sz="4" w:space="31"/>
        </w:pBdr>
        <w:spacing w:line="600" w:lineRule="exact"/>
        <w:ind w:left="0" w:leftChars="0" w:firstLine="560" w:firstLineChars="200"/>
        <w:outlineLvl w:val="0"/>
        <w:rPr>
          <w:rFonts w:ascii="黑体" w:eastAsia="黑体"/>
          <w:sz w:val="28"/>
          <w:szCs w:val="28"/>
        </w:rPr>
      </w:pP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numPr>
          <w:ilvl w:val="0"/>
          <w:numId w:val="0"/>
        </w:numPr>
        <w:pBdr>
          <w:bottom w:val="single" w:color="FFFFFF" w:sz="4" w:space="31"/>
        </w:pBdr>
        <w:spacing w:line="600" w:lineRule="exact"/>
        <w:ind w:leftChars="200"/>
        <w:outlineLvl w:val="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.教育支出（类）普通教育（款）小学教育（项）：反映各部门举办的小学教育支出。政府各部门对社会组织等举办的小学的资助，如捐赠、补贴等，也在本科目中反映。</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.教育支出（类）普通教育（款）中学教育（项）：反映各部门举办的中学教育支出。政府各部门对社会组织等举办的小学的资助，如捐赠、补贴等，也在本科目中反映。</w:t>
      </w:r>
    </w:p>
    <w:p>
      <w:pPr>
        <w:ind w:firstLine="280" w:firstLineChars="1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.教育支出（类）教育费附加安排的额支出（款）其他教育支出（项）：反映其他用于教育方面的支出。</w:t>
      </w:r>
    </w:p>
    <w:p>
      <w:pPr>
        <w:ind w:firstLine="280" w:firstLineChars="1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.教育支出（类）教育费附加安排的额支出（款）其他教育费附加安排的支出（项）：反映其他用于教育方面的支出。</w:t>
      </w:r>
    </w:p>
    <w:p>
      <w:pPr>
        <w:ind w:firstLine="280" w:firstLineChars="1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.社会保障和就业支出（类）行政事业单位养老支出（款）机关事业单位基本养老保险缴费支出（项）：反映事业单位实施养老保险制度由单位实际缴纳的基本养老保险费支出。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.社会保障和就业支出（类）行政事业单位养老支出（款）机关事业单位职业年金缴费支出（项）：反映事业单位实施养老保险制度由单位实际缴纳的年金支出。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.卫生健康支出（类）行政事业单位医疗（款）公务员医疗补助（项）：反映财政部门安排的公务员医疗补助经费。</w:t>
      </w:r>
    </w:p>
    <w:p>
      <w:pPr>
        <w:ind w:firstLine="560" w:firstLineChars="20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.节能环保支出（类）污染防治（款）大气（项）：反映</w:t>
      </w:r>
      <w:r>
        <w:rPr>
          <w:rFonts w:hint="eastAsia" w:ascii="仿宋_GB2312" w:eastAsia="仿宋_GB2312"/>
          <w:sz w:val="28"/>
          <w:szCs w:val="28"/>
          <w:lang w:eastAsia="zh-CN"/>
        </w:rPr>
        <w:t>环境保护大气方面</w:t>
      </w:r>
      <w:r>
        <w:rPr>
          <w:rFonts w:hint="eastAsia" w:ascii="仿宋_GB2312" w:eastAsia="仿宋_GB2312"/>
          <w:sz w:val="28"/>
          <w:szCs w:val="28"/>
        </w:rPr>
        <w:t>的支出。</w:t>
      </w:r>
    </w:p>
    <w:p>
      <w:pPr>
        <w:tabs>
          <w:tab w:val="center" w:pos="6979"/>
        </w:tabs>
        <w:spacing w:before="156" w:beforeLines="50" w:after="156" w:afterLines="50"/>
        <w:ind w:firstLine="560" w:firstLineChars="200"/>
        <w:rPr>
          <w:rFonts w:hint="eastAsia" w:ascii="宋体" w:hAnsi="宋体" w:cs="宋体"/>
          <w:b/>
          <w:bCs/>
          <w:spacing w:val="40"/>
          <w:kern w:val="0"/>
          <w:sz w:val="32"/>
          <w:szCs w:val="32"/>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.城乡社区支出（类）国有土地使用权出让收入安排的支出（款）城市建设支出（项）：反映用于城市建设方面的支出。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仿宋_GB2312" w:hAnsi="仿宋_GB2312" w:eastAsia="仿宋_GB2312" w:cs="仿宋_GB2312"/>
          <w:color w:val="000000"/>
          <w:kern w:val="0"/>
          <w:sz w:val="28"/>
          <w:szCs w:val="28"/>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spacing w:line="580" w:lineRule="exact"/>
        <w:ind w:left="840" w:leftChars="0"/>
        <w:rPr>
          <w:rFonts w:ascii="黑体" w:eastAsia="黑体"/>
          <w:sz w:val="28"/>
          <w:szCs w:val="28"/>
        </w:rPr>
      </w:pPr>
      <w:r>
        <w:rPr>
          <w:rFonts w:hint="eastAsia" w:ascii="黑体" w:eastAsia="黑体"/>
          <w:sz w:val="28"/>
          <w:szCs w:val="28"/>
          <w:lang w:eastAsia="zh-CN"/>
        </w:rPr>
        <w:t>一、</w:t>
      </w:r>
      <w:r>
        <w:rPr>
          <w:rFonts w:hint="eastAsia" w:ascii="黑体" w:eastAsia="黑体"/>
          <w:sz w:val="28"/>
          <w:szCs w:val="28"/>
        </w:rPr>
        <w:t>项目</w:t>
      </w:r>
      <w:r>
        <w:rPr>
          <w:rFonts w:ascii="黑体" w:eastAsia="黑体"/>
          <w:sz w:val="28"/>
          <w:szCs w:val="28"/>
        </w:rPr>
        <w:t>支出绩效自评表</w:t>
      </w:r>
    </w:p>
    <w:p>
      <w:pPr>
        <w:spacing w:line="560" w:lineRule="exact"/>
        <w:ind w:firstLine="1120" w:firstLineChars="400"/>
        <w:rPr>
          <w:rFonts w:ascii="仿宋_GB2312" w:hAnsi="Times New Roman" w:eastAsia="仿宋_GB2312"/>
          <w:sz w:val="28"/>
          <w:szCs w:val="28"/>
        </w:rPr>
      </w:pPr>
      <w:r>
        <w:rPr>
          <w:rFonts w:hint="eastAsia" w:ascii="仿宋_GB2312" w:hAnsi="Times New Roman" w:eastAsia="仿宋_GB2312"/>
          <w:sz w:val="28"/>
          <w:szCs w:val="28"/>
        </w:rPr>
        <w:t>见附件</w:t>
      </w:r>
    </w:p>
    <w:p/>
    <w:p>
      <w:pPr>
        <w:spacing w:line="520" w:lineRule="exact"/>
        <w:ind w:firstLine="640" w:firstLineChars="200"/>
        <w:rPr>
          <w:rFonts w:hint="eastAsia" w:ascii="黑体" w:hAnsi="黑体" w:eastAsia="黑体" w:cs="黑体"/>
          <w:bCs/>
          <w:color w:val="000000"/>
          <w:kern w:val="0"/>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2C42CB"/>
    <w:multiLevelType w:val="singleLevel"/>
    <w:tmpl w:val="8A2C42C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07642"/>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15F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698B"/>
    <w:rsid w:val="009057DE"/>
    <w:rsid w:val="00905F97"/>
    <w:rsid w:val="00906FA3"/>
    <w:rsid w:val="0091239D"/>
    <w:rsid w:val="00912825"/>
    <w:rsid w:val="009129B8"/>
    <w:rsid w:val="00912B99"/>
    <w:rsid w:val="00912C78"/>
    <w:rsid w:val="00921F00"/>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112D3"/>
    <w:rsid w:val="023D413A"/>
    <w:rsid w:val="028E0A41"/>
    <w:rsid w:val="02F120AB"/>
    <w:rsid w:val="032B5196"/>
    <w:rsid w:val="037576B9"/>
    <w:rsid w:val="04533824"/>
    <w:rsid w:val="04C3537C"/>
    <w:rsid w:val="05222BF8"/>
    <w:rsid w:val="057A490C"/>
    <w:rsid w:val="061A6A13"/>
    <w:rsid w:val="063C4A4E"/>
    <w:rsid w:val="06B70A90"/>
    <w:rsid w:val="06C32324"/>
    <w:rsid w:val="06F253F2"/>
    <w:rsid w:val="079004AC"/>
    <w:rsid w:val="081A3F5B"/>
    <w:rsid w:val="0823486A"/>
    <w:rsid w:val="08273270"/>
    <w:rsid w:val="089303A1"/>
    <w:rsid w:val="089D2EAF"/>
    <w:rsid w:val="096F3AB3"/>
    <w:rsid w:val="099E62D5"/>
    <w:rsid w:val="09E81BCC"/>
    <w:rsid w:val="0A033A7B"/>
    <w:rsid w:val="0A82564E"/>
    <w:rsid w:val="0AB86A22"/>
    <w:rsid w:val="0AF7560D"/>
    <w:rsid w:val="0B713C52"/>
    <w:rsid w:val="0BA148CA"/>
    <w:rsid w:val="0C1165C4"/>
    <w:rsid w:val="0C200572"/>
    <w:rsid w:val="0D6D544B"/>
    <w:rsid w:val="0DAE2303"/>
    <w:rsid w:val="0DC51F28"/>
    <w:rsid w:val="0DD136FE"/>
    <w:rsid w:val="0F4920A4"/>
    <w:rsid w:val="0F542F2C"/>
    <w:rsid w:val="0F8E2C57"/>
    <w:rsid w:val="0FE444A1"/>
    <w:rsid w:val="10247488"/>
    <w:rsid w:val="1059665E"/>
    <w:rsid w:val="10AC13BA"/>
    <w:rsid w:val="11026E77"/>
    <w:rsid w:val="114E14F4"/>
    <w:rsid w:val="117513B4"/>
    <w:rsid w:val="119463E5"/>
    <w:rsid w:val="11C7593B"/>
    <w:rsid w:val="11F34201"/>
    <w:rsid w:val="1253551F"/>
    <w:rsid w:val="13003E71"/>
    <w:rsid w:val="131C3FC3"/>
    <w:rsid w:val="139D0458"/>
    <w:rsid w:val="13C41EFD"/>
    <w:rsid w:val="145A6C1B"/>
    <w:rsid w:val="14892F40"/>
    <w:rsid w:val="14B73493"/>
    <w:rsid w:val="150B7C96"/>
    <w:rsid w:val="15794A47"/>
    <w:rsid w:val="16294BEB"/>
    <w:rsid w:val="163D0008"/>
    <w:rsid w:val="16766EE8"/>
    <w:rsid w:val="167A2FF9"/>
    <w:rsid w:val="16DA4A0E"/>
    <w:rsid w:val="16EA4CA9"/>
    <w:rsid w:val="16FE00C6"/>
    <w:rsid w:val="171B1BF4"/>
    <w:rsid w:val="174817BF"/>
    <w:rsid w:val="176026E9"/>
    <w:rsid w:val="1764541E"/>
    <w:rsid w:val="1764587C"/>
    <w:rsid w:val="17864B27"/>
    <w:rsid w:val="17BD2A82"/>
    <w:rsid w:val="17DC02A6"/>
    <w:rsid w:val="18581C69"/>
    <w:rsid w:val="18935F5E"/>
    <w:rsid w:val="18EB43EE"/>
    <w:rsid w:val="19370400"/>
    <w:rsid w:val="194D4493"/>
    <w:rsid w:val="19C340D1"/>
    <w:rsid w:val="1AB417DA"/>
    <w:rsid w:val="1AEC0734"/>
    <w:rsid w:val="1B6608B0"/>
    <w:rsid w:val="1BD06730"/>
    <w:rsid w:val="1C2E0CC8"/>
    <w:rsid w:val="1D3C0E85"/>
    <w:rsid w:val="1D460C4B"/>
    <w:rsid w:val="1D467ADA"/>
    <w:rsid w:val="1D4C6F21"/>
    <w:rsid w:val="1D60233E"/>
    <w:rsid w:val="1D9E7C25"/>
    <w:rsid w:val="1DAD5CC1"/>
    <w:rsid w:val="1DCE61F5"/>
    <w:rsid w:val="1DE86D9F"/>
    <w:rsid w:val="1DEF20B0"/>
    <w:rsid w:val="1DFA60A0"/>
    <w:rsid w:val="1E1F4CFB"/>
    <w:rsid w:val="1E775389"/>
    <w:rsid w:val="1E8034F9"/>
    <w:rsid w:val="1ED03F3F"/>
    <w:rsid w:val="1EFD3064"/>
    <w:rsid w:val="1FF7AB17"/>
    <w:rsid w:val="2033565F"/>
    <w:rsid w:val="20B65C39"/>
    <w:rsid w:val="21097C41"/>
    <w:rsid w:val="213E4898"/>
    <w:rsid w:val="214243FA"/>
    <w:rsid w:val="218C4997"/>
    <w:rsid w:val="21AD613C"/>
    <w:rsid w:val="21EB7C42"/>
    <w:rsid w:val="22280099"/>
    <w:rsid w:val="22467189"/>
    <w:rsid w:val="22A93AEA"/>
    <w:rsid w:val="2331054B"/>
    <w:rsid w:val="23AE1199"/>
    <w:rsid w:val="23CE3C4D"/>
    <w:rsid w:val="24335B6F"/>
    <w:rsid w:val="24967E12"/>
    <w:rsid w:val="257A14F5"/>
    <w:rsid w:val="25AE4162"/>
    <w:rsid w:val="25AF1BE4"/>
    <w:rsid w:val="25DA4C26"/>
    <w:rsid w:val="25FF73E4"/>
    <w:rsid w:val="265800B0"/>
    <w:rsid w:val="26600703"/>
    <w:rsid w:val="26A93FFA"/>
    <w:rsid w:val="27196C26"/>
    <w:rsid w:val="271F52BE"/>
    <w:rsid w:val="27305420"/>
    <w:rsid w:val="27634AAD"/>
    <w:rsid w:val="279019C3"/>
    <w:rsid w:val="279C010A"/>
    <w:rsid w:val="27E11AF8"/>
    <w:rsid w:val="27E2757A"/>
    <w:rsid w:val="27E46300"/>
    <w:rsid w:val="281A6184"/>
    <w:rsid w:val="28462B22"/>
    <w:rsid w:val="295B5651"/>
    <w:rsid w:val="299D6956"/>
    <w:rsid w:val="29A04058"/>
    <w:rsid w:val="29BA4C02"/>
    <w:rsid w:val="29EF086F"/>
    <w:rsid w:val="2A7356B5"/>
    <w:rsid w:val="2A8062CA"/>
    <w:rsid w:val="2AE2376A"/>
    <w:rsid w:val="2B611ABA"/>
    <w:rsid w:val="2B683643"/>
    <w:rsid w:val="2BB43AC3"/>
    <w:rsid w:val="2BC34C59"/>
    <w:rsid w:val="2C025DC0"/>
    <w:rsid w:val="2C33658F"/>
    <w:rsid w:val="2C9917B7"/>
    <w:rsid w:val="2D105F7D"/>
    <w:rsid w:val="2D11017C"/>
    <w:rsid w:val="2D8D3349"/>
    <w:rsid w:val="2E433181"/>
    <w:rsid w:val="2E627EA9"/>
    <w:rsid w:val="2E6A2D37"/>
    <w:rsid w:val="2E8B326C"/>
    <w:rsid w:val="2E8F2922"/>
    <w:rsid w:val="2EFFE297"/>
    <w:rsid w:val="2F365903"/>
    <w:rsid w:val="2F3A210B"/>
    <w:rsid w:val="2F7169E1"/>
    <w:rsid w:val="2F9C0B2A"/>
    <w:rsid w:val="2FF624BE"/>
    <w:rsid w:val="300D5966"/>
    <w:rsid w:val="301437CA"/>
    <w:rsid w:val="30152D72"/>
    <w:rsid w:val="306A027E"/>
    <w:rsid w:val="30754091"/>
    <w:rsid w:val="309532C1"/>
    <w:rsid w:val="30E50754"/>
    <w:rsid w:val="322C20DD"/>
    <w:rsid w:val="3278255C"/>
    <w:rsid w:val="32904380"/>
    <w:rsid w:val="32B10138"/>
    <w:rsid w:val="32CD7A68"/>
    <w:rsid w:val="32FD49B4"/>
    <w:rsid w:val="3363215A"/>
    <w:rsid w:val="339B5B37"/>
    <w:rsid w:val="33A96152"/>
    <w:rsid w:val="33B679E6"/>
    <w:rsid w:val="33DF01AE"/>
    <w:rsid w:val="33F66251"/>
    <w:rsid w:val="340919EE"/>
    <w:rsid w:val="349D1F0A"/>
    <w:rsid w:val="34D423BC"/>
    <w:rsid w:val="34DD0473"/>
    <w:rsid w:val="35316ED2"/>
    <w:rsid w:val="35324954"/>
    <w:rsid w:val="35635123"/>
    <w:rsid w:val="35990E80"/>
    <w:rsid w:val="3604052F"/>
    <w:rsid w:val="36584736"/>
    <w:rsid w:val="36705660"/>
    <w:rsid w:val="36774FEB"/>
    <w:rsid w:val="36E05914"/>
    <w:rsid w:val="36EA1AA7"/>
    <w:rsid w:val="36FA64BE"/>
    <w:rsid w:val="374B0846"/>
    <w:rsid w:val="37C10485"/>
    <w:rsid w:val="38527D74"/>
    <w:rsid w:val="38B67A98"/>
    <w:rsid w:val="38C500B3"/>
    <w:rsid w:val="39072D1B"/>
    <w:rsid w:val="39312C65"/>
    <w:rsid w:val="393915E8"/>
    <w:rsid w:val="396D17C5"/>
    <w:rsid w:val="39A00D1B"/>
    <w:rsid w:val="3A815E0A"/>
    <w:rsid w:val="3A8E35DC"/>
    <w:rsid w:val="3AE400AD"/>
    <w:rsid w:val="3B2C04A1"/>
    <w:rsid w:val="3B410447"/>
    <w:rsid w:val="3B495853"/>
    <w:rsid w:val="3B8E0546"/>
    <w:rsid w:val="3B9236C9"/>
    <w:rsid w:val="3C684897"/>
    <w:rsid w:val="3C6E7BB4"/>
    <w:rsid w:val="3CD97263"/>
    <w:rsid w:val="3D5A2CB5"/>
    <w:rsid w:val="3DB36BC6"/>
    <w:rsid w:val="3DB44648"/>
    <w:rsid w:val="3DBF29D9"/>
    <w:rsid w:val="3ED1739E"/>
    <w:rsid w:val="3F2D1CB6"/>
    <w:rsid w:val="3F63690D"/>
    <w:rsid w:val="3FD768CC"/>
    <w:rsid w:val="40655236"/>
    <w:rsid w:val="406D3D21"/>
    <w:rsid w:val="406D6694"/>
    <w:rsid w:val="412C177C"/>
    <w:rsid w:val="414E29EF"/>
    <w:rsid w:val="417B6F7C"/>
    <w:rsid w:val="419E729D"/>
    <w:rsid w:val="41A67DC1"/>
    <w:rsid w:val="41AA204A"/>
    <w:rsid w:val="41AA4248"/>
    <w:rsid w:val="41AC774B"/>
    <w:rsid w:val="41AE2C4F"/>
    <w:rsid w:val="41BC57E8"/>
    <w:rsid w:val="433E495C"/>
    <w:rsid w:val="442B201D"/>
    <w:rsid w:val="4493170D"/>
    <w:rsid w:val="44C81F67"/>
    <w:rsid w:val="44E12B11"/>
    <w:rsid w:val="451467E3"/>
    <w:rsid w:val="451D1671"/>
    <w:rsid w:val="461A6091"/>
    <w:rsid w:val="4622569C"/>
    <w:rsid w:val="462A632B"/>
    <w:rsid w:val="46691693"/>
    <w:rsid w:val="46A401F3"/>
    <w:rsid w:val="46DC034D"/>
    <w:rsid w:val="46F61AB5"/>
    <w:rsid w:val="47AA1CA0"/>
    <w:rsid w:val="47EF4992"/>
    <w:rsid w:val="488B2612"/>
    <w:rsid w:val="489F2FD7"/>
    <w:rsid w:val="49505853"/>
    <w:rsid w:val="49780F96"/>
    <w:rsid w:val="49CE19A5"/>
    <w:rsid w:val="49D203AB"/>
    <w:rsid w:val="4A1C3CA2"/>
    <w:rsid w:val="4A924F66"/>
    <w:rsid w:val="4A9329E8"/>
    <w:rsid w:val="4ABB0329"/>
    <w:rsid w:val="4AC27CB3"/>
    <w:rsid w:val="4AC61F3D"/>
    <w:rsid w:val="4AD91877"/>
    <w:rsid w:val="4BA7702D"/>
    <w:rsid w:val="4BAE4439"/>
    <w:rsid w:val="4BBE0E50"/>
    <w:rsid w:val="4BD33374"/>
    <w:rsid w:val="4BF72BEF"/>
    <w:rsid w:val="4C6F6A75"/>
    <w:rsid w:val="4C7A2888"/>
    <w:rsid w:val="4C8C27A2"/>
    <w:rsid w:val="4D1D2091"/>
    <w:rsid w:val="4D632806"/>
    <w:rsid w:val="4DF420F5"/>
    <w:rsid w:val="4DFE2A04"/>
    <w:rsid w:val="4E4243F2"/>
    <w:rsid w:val="4EB002A9"/>
    <w:rsid w:val="4F47041D"/>
    <w:rsid w:val="4F67151F"/>
    <w:rsid w:val="4F691C56"/>
    <w:rsid w:val="4FA90297"/>
    <w:rsid w:val="4FC41A43"/>
    <w:rsid w:val="502F619C"/>
    <w:rsid w:val="50303C1D"/>
    <w:rsid w:val="503D54B2"/>
    <w:rsid w:val="50C51F13"/>
    <w:rsid w:val="51694C1F"/>
    <w:rsid w:val="51742FB0"/>
    <w:rsid w:val="518A09D7"/>
    <w:rsid w:val="5197226B"/>
    <w:rsid w:val="51DB3C59"/>
    <w:rsid w:val="51E732EF"/>
    <w:rsid w:val="52030E37"/>
    <w:rsid w:val="5223404D"/>
    <w:rsid w:val="52CC0FE3"/>
    <w:rsid w:val="52D363EF"/>
    <w:rsid w:val="52E61B8D"/>
    <w:rsid w:val="53E45333"/>
    <w:rsid w:val="540E06F6"/>
    <w:rsid w:val="54495057"/>
    <w:rsid w:val="54B92D8D"/>
    <w:rsid w:val="54E2614F"/>
    <w:rsid w:val="550C0952"/>
    <w:rsid w:val="55442971"/>
    <w:rsid w:val="556C60B3"/>
    <w:rsid w:val="55762E42"/>
    <w:rsid w:val="55E03E74"/>
    <w:rsid w:val="5648259F"/>
    <w:rsid w:val="56CB72F5"/>
    <w:rsid w:val="5777520F"/>
    <w:rsid w:val="577B1697"/>
    <w:rsid w:val="57A7B272"/>
    <w:rsid w:val="57CA1416"/>
    <w:rsid w:val="57D10DA1"/>
    <w:rsid w:val="57E45843"/>
    <w:rsid w:val="57EE6152"/>
    <w:rsid w:val="58470068"/>
    <w:rsid w:val="58747CAC"/>
    <w:rsid w:val="5913081B"/>
    <w:rsid w:val="59176EB9"/>
    <w:rsid w:val="59812CE5"/>
    <w:rsid w:val="598C48FA"/>
    <w:rsid w:val="5A1720F9"/>
    <w:rsid w:val="5A646B5B"/>
    <w:rsid w:val="5A9D4737"/>
    <w:rsid w:val="5A9E21B8"/>
    <w:rsid w:val="5ACE7C2C"/>
    <w:rsid w:val="5AED57BB"/>
    <w:rsid w:val="5B2F6DCD"/>
    <w:rsid w:val="5B7A4125"/>
    <w:rsid w:val="5B9C37C2"/>
    <w:rsid w:val="5BA7C654"/>
    <w:rsid w:val="5BE018CB"/>
    <w:rsid w:val="5BEC315F"/>
    <w:rsid w:val="5CE91D7D"/>
    <w:rsid w:val="5CF24C0B"/>
    <w:rsid w:val="5D074BB1"/>
    <w:rsid w:val="5DF716AE"/>
    <w:rsid w:val="5DF94139"/>
    <w:rsid w:val="5E467ABB"/>
    <w:rsid w:val="5E6152EE"/>
    <w:rsid w:val="5E893A28"/>
    <w:rsid w:val="5E972D3D"/>
    <w:rsid w:val="5EC55E0B"/>
    <w:rsid w:val="5F9D006D"/>
    <w:rsid w:val="5F9F507E"/>
    <w:rsid w:val="5FD614CB"/>
    <w:rsid w:val="5FDA7ED2"/>
    <w:rsid w:val="60534318"/>
    <w:rsid w:val="60A54109"/>
    <w:rsid w:val="60A5501C"/>
    <w:rsid w:val="612A0AF8"/>
    <w:rsid w:val="61C06A6D"/>
    <w:rsid w:val="61C85929"/>
    <w:rsid w:val="61D01CDF"/>
    <w:rsid w:val="61D37C8C"/>
    <w:rsid w:val="61D66A13"/>
    <w:rsid w:val="61E437AA"/>
    <w:rsid w:val="623E513D"/>
    <w:rsid w:val="625B0E6A"/>
    <w:rsid w:val="62BD348D"/>
    <w:rsid w:val="6349526F"/>
    <w:rsid w:val="63F81B90"/>
    <w:rsid w:val="64145C3D"/>
    <w:rsid w:val="64C0607C"/>
    <w:rsid w:val="651932EC"/>
    <w:rsid w:val="65320613"/>
    <w:rsid w:val="65756C86"/>
    <w:rsid w:val="66290A9A"/>
    <w:rsid w:val="668734C3"/>
    <w:rsid w:val="66C94123"/>
    <w:rsid w:val="66D01339"/>
    <w:rsid w:val="674D385B"/>
    <w:rsid w:val="676F09E1"/>
    <w:rsid w:val="67FC4329"/>
    <w:rsid w:val="680613B6"/>
    <w:rsid w:val="684C53AD"/>
    <w:rsid w:val="68AF1BCF"/>
    <w:rsid w:val="690A6A65"/>
    <w:rsid w:val="694655C5"/>
    <w:rsid w:val="69655E7A"/>
    <w:rsid w:val="69790883"/>
    <w:rsid w:val="699740CB"/>
    <w:rsid w:val="69A86563"/>
    <w:rsid w:val="6A3B6DD7"/>
    <w:rsid w:val="6A7F65C7"/>
    <w:rsid w:val="6AA66486"/>
    <w:rsid w:val="6ACC2E43"/>
    <w:rsid w:val="6ACD08C4"/>
    <w:rsid w:val="6BC333DB"/>
    <w:rsid w:val="6C0463C2"/>
    <w:rsid w:val="6C1369DD"/>
    <w:rsid w:val="6C5277C6"/>
    <w:rsid w:val="6C631C5F"/>
    <w:rsid w:val="6C784183"/>
    <w:rsid w:val="6C9F78C6"/>
    <w:rsid w:val="6D064CEC"/>
    <w:rsid w:val="6D4B1F5D"/>
    <w:rsid w:val="6D540693"/>
    <w:rsid w:val="6E262BC5"/>
    <w:rsid w:val="6E8509E0"/>
    <w:rsid w:val="6F5403CB"/>
    <w:rsid w:val="6F622534"/>
    <w:rsid w:val="6F89280C"/>
    <w:rsid w:val="6FC22B43"/>
    <w:rsid w:val="6FCF76FD"/>
    <w:rsid w:val="6FDB6D93"/>
    <w:rsid w:val="712E50BB"/>
    <w:rsid w:val="71691990"/>
    <w:rsid w:val="71793A80"/>
    <w:rsid w:val="718A79D3"/>
    <w:rsid w:val="725F7303"/>
    <w:rsid w:val="72C309D4"/>
    <w:rsid w:val="7357290B"/>
    <w:rsid w:val="73636360"/>
    <w:rsid w:val="738E71A4"/>
    <w:rsid w:val="73A6484A"/>
    <w:rsid w:val="74350C36"/>
    <w:rsid w:val="746B7A8B"/>
    <w:rsid w:val="748C466B"/>
    <w:rsid w:val="74D85EC1"/>
    <w:rsid w:val="75084492"/>
    <w:rsid w:val="751C78AF"/>
    <w:rsid w:val="756E3DEA"/>
    <w:rsid w:val="757B0F4D"/>
    <w:rsid w:val="758075D4"/>
    <w:rsid w:val="769E7DAB"/>
    <w:rsid w:val="76D67F05"/>
    <w:rsid w:val="76FB1693"/>
    <w:rsid w:val="77AC46E5"/>
    <w:rsid w:val="77F03ED5"/>
    <w:rsid w:val="785947FE"/>
    <w:rsid w:val="78F96906"/>
    <w:rsid w:val="79427FFF"/>
    <w:rsid w:val="79641838"/>
    <w:rsid w:val="79784C56"/>
    <w:rsid w:val="798524E4"/>
    <w:rsid w:val="79D21E6C"/>
    <w:rsid w:val="7A307C87"/>
    <w:rsid w:val="7A7F1C49"/>
    <w:rsid w:val="7A8C4B1E"/>
    <w:rsid w:val="7AA9664C"/>
    <w:rsid w:val="7AB15C57"/>
    <w:rsid w:val="7B5B7AE6"/>
    <w:rsid w:val="7B6A670A"/>
    <w:rsid w:val="7B7B6628"/>
    <w:rsid w:val="7BA7071E"/>
    <w:rsid w:val="7BDF6DA8"/>
    <w:rsid w:val="7C7EDC1A"/>
    <w:rsid w:val="7C8810E0"/>
    <w:rsid w:val="7CC059B7"/>
    <w:rsid w:val="7CCED98D"/>
    <w:rsid w:val="7CF61714"/>
    <w:rsid w:val="7D08410F"/>
    <w:rsid w:val="7D6F00D9"/>
    <w:rsid w:val="7D9E53A5"/>
    <w:rsid w:val="7DB96DED"/>
    <w:rsid w:val="7DD3AD81"/>
    <w:rsid w:val="7DFFF77E"/>
    <w:rsid w:val="7E6C0EF6"/>
    <w:rsid w:val="7EBF2EFE"/>
    <w:rsid w:val="7EDC282E"/>
    <w:rsid w:val="7EDE37B3"/>
    <w:rsid w:val="7F012A6E"/>
    <w:rsid w:val="7F307D3A"/>
    <w:rsid w:val="7F3C302D"/>
    <w:rsid w:val="7F53A862"/>
    <w:rsid w:val="7F7FE70F"/>
    <w:rsid w:val="7FA42277"/>
    <w:rsid w:val="7FDC5C54"/>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政府性基金预算财政拨款收入</c:v>
                </c:pt>
              </c:strCache>
            </c:strRef>
          </c:cat>
          <c:val>
            <c:numRef>
              <c:f>Sheet1!$B$2:$B$3</c:f>
              <c:numCache>
                <c:formatCode>0.00%</c:formatCode>
                <c:ptCount val="2"/>
                <c:pt idx="0">
                  <c:v>0.9623</c:v>
                </c:pt>
                <c:pt idx="1">
                  <c:v>0.0377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6725.33</c:v>
                </c:pt>
                <c:pt idx="1">
                  <c:v>4783.45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7</TotalTime>
  <ScaleCrop>false</ScaleCrop>
  <LinksUpToDate>false</LinksUpToDate>
  <CharactersWithSpaces>298</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2025-09-29T06:40:33Z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