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70"/>
        <w:rPr>
          <w:rFonts w:hint="eastAsia"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lang w:val="en-US" w:eastAsia="zh-CN"/>
        </w:rPr>
        <w:t>（一）</w:t>
      </w:r>
      <w:r>
        <w:rPr>
          <w:rFonts w:hint="eastAsia" w:ascii="仿宋_GB2312" w:hAnsi="Times New Roman" w:eastAsia="仿宋_GB2312" w:cs="Times New Roman"/>
          <w:color w:val="auto"/>
          <w:sz w:val="28"/>
          <w:szCs w:val="28"/>
        </w:rPr>
        <w:t>主要职能。为</w:t>
      </w:r>
      <w:r>
        <w:rPr>
          <w:rFonts w:hint="eastAsia" w:ascii="仿宋_GB2312" w:eastAsia="仿宋_GB2312" w:cs="Times New Roman"/>
          <w:color w:val="auto"/>
          <w:sz w:val="28"/>
          <w:szCs w:val="28"/>
          <w:lang w:val="en-US" w:eastAsia="zh-CN"/>
        </w:rPr>
        <w:t>全区四年级学生提供综合实践活动及劳动教育</w:t>
      </w:r>
      <w:r>
        <w:rPr>
          <w:rFonts w:hint="eastAsia" w:ascii="仿宋_GB2312" w:hAnsi="Times New Roman" w:eastAsia="仿宋_GB2312" w:cs="Times New Roman"/>
          <w:color w:val="auto"/>
          <w:sz w:val="28"/>
          <w:szCs w:val="28"/>
        </w:rPr>
        <w:t>活动提供服务、开展校外教育。</w:t>
      </w:r>
    </w:p>
    <w:p>
      <w:pPr>
        <w:tabs>
          <w:tab w:val="center" w:pos="6979"/>
        </w:tabs>
        <w:spacing w:line="580" w:lineRule="exact"/>
        <w:ind w:firstLine="570"/>
        <w:rPr>
          <w:rFonts w:hint="eastAsia"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lang w:eastAsia="zh-CN"/>
        </w:rPr>
        <w:t>（</w:t>
      </w:r>
      <w:r>
        <w:rPr>
          <w:rFonts w:hint="eastAsia" w:ascii="仿宋_GB2312" w:hAnsi="Times New Roman" w:eastAsia="仿宋_GB2312" w:cs="Times New Roman"/>
          <w:color w:val="auto"/>
          <w:sz w:val="28"/>
          <w:szCs w:val="28"/>
          <w:lang w:val="en-US" w:eastAsia="zh-CN"/>
        </w:rPr>
        <w:t>二）</w:t>
      </w:r>
      <w:r>
        <w:rPr>
          <w:rFonts w:hint="eastAsia" w:ascii="仿宋_GB2312" w:hAnsi="Times New Roman" w:eastAsia="仿宋_GB2312" w:cs="Times New Roman"/>
          <w:color w:val="auto"/>
          <w:sz w:val="28"/>
          <w:szCs w:val="28"/>
        </w:rPr>
        <w:t>机构情况。我校为独立编制、独立核算机构，校内设有教</w:t>
      </w:r>
      <w:r>
        <w:rPr>
          <w:rFonts w:hint="eastAsia" w:ascii="仿宋_GB2312" w:eastAsia="仿宋_GB2312" w:cs="Times New Roman"/>
          <w:color w:val="auto"/>
          <w:sz w:val="28"/>
          <w:szCs w:val="28"/>
          <w:lang w:val="en-US" w:eastAsia="zh-CN"/>
        </w:rPr>
        <w:t>教学</w:t>
      </w:r>
      <w:r>
        <w:rPr>
          <w:rFonts w:hint="eastAsia" w:ascii="仿宋_GB2312" w:hAnsi="Times New Roman" w:eastAsia="仿宋_GB2312" w:cs="Times New Roman"/>
          <w:color w:val="auto"/>
          <w:sz w:val="28"/>
          <w:szCs w:val="28"/>
        </w:rPr>
        <w:t>处、总务处等职能部门。</w:t>
      </w:r>
    </w:p>
    <w:p>
      <w:pPr>
        <w:tabs>
          <w:tab w:val="center" w:pos="6979"/>
        </w:tabs>
        <w:spacing w:line="580" w:lineRule="exact"/>
        <w:rPr>
          <w:rFonts w:hint="eastAsia" w:ascii="黑体" w:eastAsia="黑体"/>
          <w:b/>
          <w:sz w:val="28"/>
          <w:szCs w:val="28"/>
        </w:rPr>
      </w:pPr>
      <w:bookmarkStart w:id="0" w:name="_GoBack"/>
      <w:bookmarkEnd w:id="0"/>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843.6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17.6</w:t>
      </w:r>
      <w:r>
        <w:rPr>
          <w:rFonts w:hint="eastAsia" w:ascii="仿宋_GB2312" w:eastAsia="仿宋_GB2312"/>
          <w:sz w:val="28"/>
          <w:szCs w:val="28"/>
        </w:rPr>
        <w:t>万元，增长</w:t>
      </w:r>
      <w:r>
        <w:rPr>
          <w:rFonts w:hint="eastAsia" w:ascii="仿宋_GB2312" w:eastAsia="仿宋_GB2312"/>
          <w:sz w:val="28"/>
          <w:szCs w:val="28"/>
          <w:lang w:val="en-US" w:eastAsia="zh-CN"/>
        </w:rPr>
        <w:t>2.13</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hint="eastAsia" w:ascii="仿宋_GB2312" w:eastAsia="仿宋_GB2312"/>
          <w:sz w:val="28"/>
          <w:szCs w:val="28"/>
          <w:lang w:val="en-US" w:eastAsia="zh-CN"/>
        </w:rPr>
        <w:t>843.6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17.6</w:t>
      </w:r>
      <w:r>
        <w:rPr>
          <w:rFonts w:hint="eastAsia" w:ascii="仿宋_GB2312" w:eastAsia="仿宋_GB2312"/>
          <w:sz w:val="28"/>
          <w:szCs w:val="28"/>
        </w:rPr>
        <w:t>万元，增长</w:t>
      </w:r>
      <w:r>
        <w:rPr>
          <w:rFonts w:hint="eastAsia" w:ascii="仿宋_GB2312" w:eastAsia="仿宋_GB2312"/>
          <w:sz w:val="28"/>
          <w:szCs w:val="28"/>
          <w:lang w:val="en-US" w:eastAsia="zh-CN"/>
        </w:rPr>
        <w:t>2.13</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805.01</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805.01</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843.6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val="en-US" w:eastAsia="zh-CN"/>
        </w:rPr>
        <w:t>17.6</w:t>
      </w:r>
      <w:r>
        <w:rPr>
          <w:rFonts w:hint="eastAsia" w:ascii="仿宋_GB2312" w:eastAsia="仿宋_GB2312"/>
          <w:sz w:val="28"/>
          <w:szCs w:val="28"/>
        </w:rPr>
        <w:t>万元，增长（下降</w:t>
      </w:r>
      <w:r>
        <w:rPr>
          <w:rFonts w:ascii="仿宋_GB2312" w:eastAsia="仿宋_GB2312"/>
          <w:sz w:val="28"/>
          <w:szCs w:val="28"/>
        </w:rPr>
        <w:t>）</w:t>
      </w:r>
      <w:r>
        <w:rPr>
          <w:rFonts w:hint="eastAsia" w:ascii="仿宋_GB2312" w:eastAsia="仿宋_GB2312"/>
          <w:sz w:val="28"/>
          <w:szCs w:val="28"/>
          <w:lang w:val="en-US" w:eastAsia="zh-CN"/>
        </w:rPr>
        <w:t>2.13</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582.71</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69.07</w:t>
      </w:r>
      <w:r>
        <w:rPr>
          <w:rFonts w:hint="eastAsia" w:ascii="仿宋_GB2312" w:eastAsia="仿宋_GB2312"/>
          <w:sz w:val="28"/>
          <w:szCs w:val="28"/>
          <w:highlight w:val="none"/>
        </w:rPr>
        <w:t>%；项目支出</w:t>
      </w:r>
      <w:r>
        <w:rPr>
          <w:rFonts w:ascii="仿宋_GB2312" w:eastAsia="仿宋_GB2312"/>
          <w:sz w:val="28"/>
          <w:szCs w:val="28"/>
          <w:highlight w:val="none"/>
        </w:rPr>
        <w:t>260.89</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30.93</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spacing w:line="560" w:lineRule="exact"/>
        <w:ind w:firstLine="640"/>
        <w:rPr>
          <w:rFonts w:hint="eastAsia" w:ascii="仿宋_GB2312" w:eastAsia="仿宋_GB2312" w:cs="Droid Sans"/>
          <w:color w:val="000000"/>
          <w:sz w:val="32"/>
          <w:szCs w:val="32"/>
          <w:highlight w:val="none"/>
          <w:lang w:eastAsia="zh-CN"/>
        </w:rPr>
      </w:pP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843.6</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17.6</w:t>
      </w:r>
      <w:r>
        <w:rPr>
          <w:rFonts w:hint="eastAsia" w:ascii="仿宋_GB2312" w:eastAsia="仿宋_GB2312"/>
          <w:sz w:val="28"/>
          <w:szCs w:val="28"/>
        </w:rPr>
        <w:t>万元，增长</w:t>
      </w:r>
      <w:r>
        <w:rPr>
          <w:rFonts w:hint="eastAsia" w:ascii="仿宋_GB2312" w:eastAsia="仿宋_GB2312"/>
          <w:sz w:val="28"/>
          <w:szCs w:val="28"/>
          <w:lang w:val="en-US" w:eastAsia="zh-CN"/>
        </w:rPr>
        <w:t>2.13</w:t>
      </w:r>
      <w:r>
        <w:rPr>
          <w:rFonts w:hint="eastAsia" w:ascii="仿宋_GB2312" w:eastAsia="仿宋_GB2312"/>
          <w:sz w:val="28"/>
          <w:szCs w:val="28"/>
        </w:rPr>
        <w:t>%。主要原因：</w:t>
      </w:r>
      <w:r>
        <w:rPr>
          <w:rFonts w:hint="eastAsia" w:ascii="仿宋_GB2312" w:eastAsia="仿宋_GB2312"/>
          <w:sz w:val="28"/>
          <w:szCs w:val="28"/>
          <w:lang w:val="en-US" w:eastAsia="zh-CN"/>
        </w:rPr>
        <w:t>增加了学生活动人数，调整教师岗位绩效</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843.6</w:t>
      </w:r>
      <w:r>
        <w:rPr>
          <w:rFonts w:hint="eastAsia" w:ascii="仿宋_GB2312" w:eastAsia="仿宋_GB2312"/>
          <w:sz w:val="28"/>
          <w:szCs w:val="28"/>
        </w:rPr>
        <w:t>万元，主要用于以下方面（按大类）：</w:t>
      </w:r>
      <w:r>
        <w:rPr>
          <w:rFonts w:hint="eastAsia" w:ascii="仿宋_GB2312" w:eastAsia="仿宋_GB2312"/>
          <w:sz w:val="28"/>
          <w:szCs w:val="28"/>
          <w:lang w:val="en-US" w:eastAsia="zh-CN"/>
        </w:rPr>
        <w:t>教育</w:t>
      </w:r>
      <w:r>
        <w:rPr>
          <w:rFonts w:hint="eastAsia" w:ascii="仿宋_GB2312" w:eastAsia="仿宋_GB2312"/>
          <w:sz w:val="28"/>
          <w:szCs w:val="28"/>
        </w:rPr>
        <w:t>支出</w:t>
      </w:r>
      <w:r>
        <w:rPr>
          <w:rFonts w:hint="eastAsia" w:ascii="仿宋_GB2312" w:eastAsia="仿宋_GB2312"/>
          <w:sz w:val="28"/>
          <w:szCs w:val="28"/>
          <w:lang w:val="en-US" w:eastAsia="zh-CN"/>
        </w:rPr>
        <w:t>676.87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80.24</w:t>
      </w:r>
      <w:r>
        <w:rPr>
          <w:rFonts w:hint="eastAsia" w:ascii="仿宋_GB2312" w:eastAsia="仿宋_GB2312"/>
          <w:sz w:val="28"/>
          <w:szCs w:val="28"/>
        </w:rPr>
        <w:t>%；</w:t>
      </w:r>
      <w:r>
        <w:rPr>
          <w:rFonts w:hint="eastAsia" w:ascii="仿宋_GB2312" w:eastAsia="仿宋_GB2312"/>
          <w:sz w:val="28"/>
          <w:szCs w:val="28"/>
          <w:lang w:val="en-US" w:eastAsia="zh-CN"/>
        </w:rPr>
        <w:t>社会保障和就业支出75.4万元，站本年财政拨款支持8.94%；卫生健康支出52.83万元，占本年财政拨款支出6.26%，住房保障支出38.5万元，占本年财政拨款支出4.56%</w:t>
      </w:r>
      <w:r>
        <w:rPr>
          <w:rFonts w:hint="eastAsia" w:ascii="仿宋_GB2312" w:eastAsia="仿宋_GB2312"/>
          <w:sz w:val="28"/>
          <w:szCs w:val="28"/>
        </w:rPr>
        <w:t xml:space="preserve"> 。</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205教育支出</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类</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741.37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676.87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91.30</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20502普通教育</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款</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741.37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676.87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91.30</w:t>
      </w:r>
      <w:r>
        <w:rPr>
          <w:rFonts w:hint="eastAsia" w:ascii="仿宋_GB2312" w:eastAsia="仿宋_GB2312"/>
          <w:sz w:val="28"/>
          <w:szCs w:val="28"/>
        </w:rPr>
        <w:t>%。主要原因：</w:t>
      </w:r>
      <w:r>
        <w:rPr>
          <w:rFonts w:hint="eastAsia" w:ascii="仿宋_GB2312" w:eastAsia="仿宋_GB2312"/>
          <w:sz w:val="28"/>
          <w:szCs w:val="28"/>
          <w:lang w:val="en-US" w:eastAsia="zh-CN"/>
        </w:rPr>
        <w:t>单位人员调离1人</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val="en-US" w:eastAsia="zh-CN"/>
        </w:rPr>
        <w:t>208社会保障和就业支出</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类</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75.46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75.4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99.92</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20805行政事业单位养老支出”（款）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45.21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41.19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91.11</w:t>
      </w:r>
      <w:r>
        <w:rPr>
          <w:rFonts w:hint="eastAsia" w:ascii="仿宋_GB2312" w:eastAsia="仿宋_GB2312"/>
          <w:sz w:val="28"/>
          <w:szCs w:val="28"/>
        </w:rPr>
        <w:t>%。主要原因：</w:t>
      </w:r>
      <w:r>
        <w:rPr>
          <w:rFonts w:hint="eastAsia" w:ascii="仿宋_GB2312" w:eastAsia="仿宋_GB2312"/>
          <w:sz w:val="28"/>
          <w:szCs w:val="28"/>
          <w:lang w:val="en-US" w:eastAsia="zh-CN"/>
        </w:rPr>
        <w:t>养老保险、职业年金社保基数调整</w:t>
      </w:r>
      <w:r>
        <w:rPr>
          <w:rFonts w:hint="eastAsia" w:ascii="仿宋_GB2312" w:eastAsia="仿宋_GB2312"/>
          <w:sz w:val="28"/>
          <w:szCs w:val="28"/>
        </w:rPr>
        <w:t>。</w:t>
      </w:r>
    </w:p>
    <w:p>
      <w:pPr>
        <w:numPr>
          <w:ilvl w:val="0"/>
          <w:numId w:val="1"/>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210卫生健康支出</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类</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52.83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96.05</w:t>
      </w:r>
      <w:r>
        <w:rPr>
          <w:rFonts w:hint="eastAsia" w:ascii="仿宋_GB2312" w:eastAsia="仿宋_GB2312"/>
          <w:sz w:val="28"/>
          <w:szCs w:val="28"/>
        </w:rPr>
        <w:t>%。</w:t>
      </w:r>
    </w:p>
    <w:p>
      <w:pPr>
        <w:numPr>
          <w:ilvl w:val="0"/>
          <w:numId w:val="0"/>
        </w:numPr>
        <w:spacing w:line="580" w:lineRule="exac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2101102事业单位医疗</w:t>
      </w:r>
      <w:r>
        <w:rPr>
          <w:rFonts w:hint="eastAsia" w:ascii="仿宋_GB2312" w:eastAsia="仿宋_GB2312"/>
          <w:sz w:val="28"/>
          <w:szCs w:val="28"/>
        </w:rPr>
        <w:t>”</w:t>
      </w:r>
      <w:r>
        <w:rPr>
          <w:rFonts w:hint="eastAsia" w:ascii="仿宋_GB2312" w:eastAsia="仿宋_GB2312"/>
          <w:sz w:val="28"/>
          <w:szCs w:val="28"/>
          <w:lang w:eastAsia="zh-CN"/>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43.97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42.8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97.34</w:t>
      </w:r>
      <w:r>
        <w:rPr>
          <w:rFonts w:hint="eastAsia" w:ascii="仿宋_GB2312" w:eastAsia="仿宋_GB2312"/>
          <w:sz w:val="28"/>
          <w:szCs w:val="28"/>
        </w:rPr>
        <w:t>%。主要原因：</w:t>
      </w:r>
      <w:r>
        <w:rPr>
          <w:rFonts w:hint="eastAsia" w:ascii="仿宋_GB2312" w:eastAsia="仿宋_GB2312"/>
          <w:sz w:val="28"/>
          <w:szCs w:val="28"/>
          <w:lang w:val="en-US" w:eastAsia="zh-CN"/>
        </w:rPr>
        <w:t>基本医疗社保基数调整</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21011行政事业单位医疗</w:t>
      </w:r>
      <w:r>
        <w:rPr>
          <w:rFonts w:hint="eastAsia" w:ascii="仿宋_GB2312" w:eastAsia="仿宋_GB2312"/>
          <w:sz w:val="28"/>
          <w:szCs w:val="28"/>
        </w:rPr>
        <w:t>”</w:t>
      </w:r>
      <w:r>
        <w:rPr>
          <w:rFonts w:hint="eastAsia" w:ascii="仿宋_GB2312" w:eastAsia="仿宋_GB2312"/>
          <w:sz w:val="28"/>
          <w:szCs w:val="28"/>
          <w:lang w:eastAsia="zh-CN"/>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59.83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58.83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98.33</w:t>
      </w:r>
      <w:r>
        <w:rPr>
          <w:rFonts w:hint="eastAsia" w:ascii="仿宋_GB2312" w:eastAsia="仿宋_GB2312"/>
          <w:sz w:val="28"/>
          <w:szCs w:val="28"/>
        </w:rPr>
        <w:t>%。主要原因：</w:t>
      </w:r>
      <w:r>
        <w:rPr>
          <w:rFonts w:hint="eastAsia" w:ascii="仿宋_GB2312" w:eastAsia="仿宋_GB2312"/>
          <w:sz w:val="28"/>
          <w:szCs w:val="28"/>
          <w:lang w:val="en-US" w:eastAsia="zh-CN"/>
        </w:rPr>
        <w:t>基本医疗、补充医疗社保基数调整</w:t>
      </w:r>
      <w:r>
        <w:rPr>
          <w:rFonts w:hint="eastAsia" w:ascii="仿宋_GB2312" w:eastAsia="仿宋_GB2312"/>
          <w:sz w:val="28"/>
          <w:szCs w:val="28"/>
        </w:rPr>
        <w:t>。</w:t>
      </w:r>
    </w:p>
    <w:p>
      <w:pPr>
        <w:numPr>
          <w:ilvl w:val="0"/>
          <w:numId w:val="1"/>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221住房保障支出</w:t>
      </w:r>
      <w:r>
        <w:rPr>
          <w:rFonts w:hint="eastAsia" w:ascii="仿宋_GB2312" w:eastAsia="仿宋_GB2312"/>
          <w:sz w:val="28"/>
          <w:szCs w:val="28"/>
        </w:rPr>
        <w:t>”</w:t>
      </w:r>
      <w:r>
        <w:rPr>
          <w:rFonts w:hint="eastAsia" w:ascii="仿宋_GB2312" w:eastAsia="仿宋_GB2312"/>
          <w:sz w:val="28"/>
          <w:szCs w:val="28"/>
          <w:lang w:eastAsia="zh-CN"/>
        </w:rPr>
        <w:t>（类）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38.5</w:t>
      </w:r>
      <w:r>
        <w:rPr>
          <w:rFonts w:hint="eastAsia" w:ascii="仿宋_GB2312" w:eastAsia="仿宋_GB2312"/>
          <w:sz w:val="28"/>
          <w:szCs w:val="28"/>
        </w:rPr>
        <w:t>万元。</w:t>
      </w:r>
    </w:p>
    <w:p>
      <w:pPr>
        <w:numPr>
          <w:ilvl w:val="0"/>
          <w:numId w:val="0"/>
        </w:numPr>
        <w:spacing w:line="580" w:lineRule="exac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rPr>
      </w:pPr>
      <w:r>
        <w:rPr>
          <w:rFonts w:hint="eastAsia" w:ascii="仿宋_GB2312" w:eastAsia="仿宋_GB2312"/>
          <w:sz w:val="28"/>
          <w:szCs w:val="28"/>
        </w:rPr>
        <w:t>“</w:t>
      </w:r>
      <w:r>
        <w:rPr>
          <w:rFonts w:hint="eastAsia" w:ascii="仿宋_GB2312" w:eastAsia="仿宋_GB2312"/>
          <w:sz w:val="28"/>
          <w:szCs w:val="28"/>
          <w:lang w:val="en-US" w:eastAsia="zh-CN"/>
        </w:rPr>
        <w:t>221住房改革支出</w:t>
      </w:r>
      <w:r>
        <w:rPr>
          <w:rFonts w:hint="eastAsia" w:ascii="仿宋_GB2312" w:eastAsia="仿宋_GB2312"/>
          <w:sz w:val="28"/>
          <w:szCs w:val="28"/>
        </w:rPr>
        <w:t>”</w:t>
      </w:r>
      <w:r>
        <w:rPr>
          <w:rFonts w:hint="eastAsia" w:ascii="仿宋_GB2312" w:eastAsia="仿宋_GB2312"/>
          <w:sz w:val="28"/>
          <w:szCs w:val="28"/>
          <w:lang w:eastAsia="zh-CN"/>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38.5</w:t>
      </w:r>
      <w:r>
        <w:rPr>
          <w:rFonts w:hint="eastAsia" w:ascii="仿宋_GB2312" w:eastAsia="仿宋_GB2312"/>
          <w:sz w:val="28"/>
          <w:szCs w:val="28"/>
        </w:rPr>
        <w:t>万元。主要原因：</w:t>
      </w:r>
      <w:r>
        <w:rPr>
          <w:rFonts w:hint="eastAsia" w:ascii="仿宋_GB2312" w:eastAsia="仿宋_GB2312"/>
          <w:sz w:val="28"/>
          <w:szCs w:val="28"/>
          <w:lang w:val="en-US" w:eastAsia="zh-CN"/>
        </w:rPr>
        <w:t>补发历年住房补贴</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2024年本单位无</w:t>
      </w:r>
      <w:r>
        <w:rPr>
          <w:rFonts w:hint="eastAsia" w:ascii="仿宋_GB2312" w:eastAsia="仿宋_GB2312"/>
          <w:sz w:val="28"/>
          <w:szCs w:val="28"/>
        </w:rPr>
        <w:t>政府性基金预算财政拨款</w:t>
      </w:r>
      <w:r>
        <w:rPr>
          <w:rFonts w:hint="eastAsia" w:ascii="仿宋_GB2312" w:eastAsia="仿宋_GB2312"/>
          <w:sz w:val="28"/>
          <w:szCs w:val="28"/>
          <w:lang w:val="en-US" w:eastAsia="zh-CN"/>
        </w:rPr>
        <w:t>安排的支出</w:t>
      </w:r>
      <w:r>
        <w:rPr>
          <w:rFonts w:hint="eastAsia" w:ascii="仿宋_GB2312" w:eastAsia="仿宋_GB2312"/>
          <w:sz w:val="28"/>
          <w:szCs w:val="28"/>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w:t>
      </w:r>
      <w:r>
        <w:rPr>
          <w:rFonts w:hint="eastAsia" w:ascii="仿宋_GB2312" w:eastAsia="仿宋_GB2312"/>
          <w:sz w:val="28"/>
          <w:szCs w:val="28"/>
          <w:lang w:val="en-US" w:eastAsia="zh-CN"/>
        </w:rPr>
        <w:t>2024年本单位无</w:t>
      </w:r>
      <w:r>
        <w:rPr>
          <w:rFonts w:hint="eastAsia" w:ascii="仿宋_GB2312" w:eastAsia="仿宋_GB2312"/>
          <w:sz w:val="28"/>
          <w:szCs w:val="28"/>
        </w:rPr>
        <w:t>国有资本经营预算财政</w:t>
      </w:r>
      <w:r>
        <w:rPr>
          <w:rFonts w:ascii="仿宋_GB2312" w:eastAsia="仿宋_GB2312"/>
          <w:sz w:val="28"/>
          <w:szCs w:val="28"/>
        </w:rPr>
        <w:t>拨款</w:t>
      </w:r>
      <w:r>
        <w:rPr>
          <w:rFonts w:hint="eastAsia" w:ascii="仿宋_GB2312" w:eastAsia="仿宋_GB2312"/>
          <w:sz w:val="28"/>
          <w:szCs w:val="28"/>
        </w:rPr>
        <w:t>。</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582.71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0.46</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2.9</w:t>
      </w:r>
      <w:r>
        <w:rPr>
          <w:rFonts w:hint="eastAsia" w:ascii="仿宋_GB2312" w:eastAsia="仿宋_GB2312"/>
          <w:sz w:val="28"/>
          <w:szCs w:val="28"/>
        </w:rPr>
        <w:t>万元减少</w:t>
      </w:r>
      <w:r>
        <w:rPr>
          <w:rFonts w:hint="eastAsia" w:ascii="仿宋_GB2312" w:eastAsia="仿宋_GB2312"/>
          <w:sz w:val="28"/>
          <w:szCs w:val="28"/>
          <w:lang w:val="en-US" w:eastAsia="zh-CN"/>
        </w:rPr>
        <w:t>2.44</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bidi="ar"/>
        </w:rPr>
        <w:t>是因公出国（境）费用根据年度出国审批情况作为追加项目管理，单位不做年初预算，本年也没有出国审批项目发生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hAnsi="Times New Roman" w:eastAsia="仿宋_GB2312" w:cs="Times New Roman"/>
          <w:color w:val="000000"/>
          <w:kern w:val="2"/>
          <w:sz w:val="28"/>
          <w:szCs w:val="28"/>
          <w:lang w:val="en-US" w:eastAsia="zh-CN" w:bidi="ar"/>
        </w:rPr>
        <w:t>出国（境）的会议、培训交流等事项</w:t>
      </w:r>
      <w:r>
        <w:rPr>
          <w:rFonts w:hint="eastAsia" w:ascii="仿宋_GB2312" w:eastAsia="仿宋_GB2312"/>
          <w:sz w:val="28"/>
          <w:szCs w:val="28"/>
        </w:rPr>
        <w:t>等，202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减少0</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本年度无公务接待支出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hAnsi="Times New Roman" w:eastAsia="仿宋_GB2312" w:cs="Times New Roman"/>
          <w:kern w:val="2"/>
          <w:sz w:val="28"/>
          <w:szCs w:val="28"/>
          <w:lang w:val="en-US" w:eastAsia="zh-CN" w:bidi="ar"/>
        </w:rPr>
        <w:t>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cs="Times New Roman"/>
          <w:kern w:val="2"/>
          <w:sz w:val="28"/>
          <w:szCs w:val="28"/>
          <w:lang w:val="en-US" w:eastAsia="zh-CN" w:bidi="ar"/>
        </w:rPr>
        <w:t>0.46</w:t>
      </w:r>
      <w:r>
        <w:rPr>
          <w:rFonts w:hint="eastAsia" w:ascii="仿宋_GB2312" w:eastAsia="仿宋_GB2312"/>
          <w:sz w:val="28"/>
          <w:szCs w:val="28"/>
        </w:rPr>
        <w:t>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2.7</w:t>
      </w:r>
      <w:r>
        <w:rPr>
          <w:rFonts w:hint="eastAsia" w:ascii="仿宋_GB2312" w:eastAsia="仿宋_GB2312"/>
          <w:sz w:val="28"/>
          <w:szCs w:val="28"/>
        </w:rPr>
        <w:t>万</w:t>
      </w:r>
      <w:r>
        <w:rPr>
          <w:rFonts w:hint="eastAsia" w:ascii="仿宋_GB2312" w:eastAsia="仿宋_GB2312"/>
          <w:sz w:val="28"/>
          <w:szCs w:val="28"/>
          <w:highlight w:val="none"/>
        </w:rPr>
        <w:t>元</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2.24</w:t>
      </w:r>
      <w:r>
        <w:rPr>
          <w:rFonts w:hint="eastAsia" w:ascii="仿宋_GB2312" w:eastAsia="仿宋_GB2312"/>
          <w:sz w:val="28"/>
          <w:szCs w:val="28"/>
          <w:highlight w:val="none"/>
        </w:rPr>
        <w:t>万元。</w:t>
      </w:r>
      <w:r>
        <w:rPr>
          <w:rFonts w:hint="eastAsia" w:ascii="仿宋_GB2312" w:eastAsia="仿宋_GB2312"/>
          <w:sz w:val="28"/>
          <w:szCs w:val="28"/>
        </w:rPr>
        <w:t>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cs="Times New Roman"/>
          <w:kern w:val="2"/>
          <w:sz w:val="28"/>
          <w:szCs w:val="28"/>
          <w:lang w:val="en-US" w:eastAsia="zh-CN" w:bidi="ar"/>
        </w:rPr>
        <w:t>0</w:t>
      </w:r>
      <w:r>
        <w:rPr>
          <w:rFonts w:hint="eastAsia" w:ascii="仿宋_GB2312" w:eastAsia="仿宋_GB2312"/>
          <w:sz w:val="28"/>
          <w:szCs w:val="28"/>
        </w:rPr>
        <w:t>万元，主要原因：</w:t>
      </w:r>
      <w:r>
        <w:rPr>
          <w:rFonts w:hint="eastAsia" w:ascii="仿宋_GB2312" w:hAnsi="Times New Roman" w:eastAsia="仿宋_GB2312" w:cs="Times New Roman"/>
          <w:kern w:val="2"/>
          <w:sz w:val="28"/>
          <w:szCs w:val="28"/>
          <w:lang w:val="en-US" w:eastAsia="zh-CN" w:bidi="ar"/>
        </w:rPr>
        <w:t>本年度新购车辆</w:t>
      </w:r>
      <w:r>
        <w:rPr>
          <w:rFonts w:hint="eastAsia" w:ascii="仿宋_GB2312" w:eastAsia="仿宋_GB2312" w:cs="Times New Roman"/>
          <w:kern w:val="2"/>
          <w:sz w:val="28"/>
          <w:szCs w:val="28"/>
          <w:lang w:val="en-US" w:eastAsia="zh-CN" w:bidi="ar"/>
        </w:rPr>
        <w:t>0</w:t>
      </w:r>
      <w:r>
        <w:rPr>
          <w:rFonts w:hint="eastAsia" w:ascii="仿宋_GB2312" w:hAnsi="Times New Roman" w:eastAsia="仿宋_GB2312" w:cs="Times New Roman"/>
          <w:kern w:val="2"/>
          <w:sz w:val="28"/>
          <w:szCs w:val="28"/>
          <w:lang w:val="en-US" w:eastAsia="zh-CN" w:bidi="ar"/>
        </w:rPr>
        <w:t>辆</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val="en-US"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cs="Times New Roman"/>
          <w:kern w:val="2"/>
          <w:sz w:val="28"/>
          <w:szCs w:val="28"/>
          <w:lang w:val="en-US" w:eastAsia="zh-CN" w:bidi="ar"/>
        </w:rPr>
        <w:t>0.46</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原因是严格落实公务用车使用规定，认真贯彻厉行节约反对浪费的有关要求，本着节俭高效的原则,进一步加强公务用车管理,减少费用支出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hint="eastAsia" w:ascii="仿宋_GB2312" w:eastAsia="仿宋_GB2312"/>
          <w:sz w:val="28"/>
          <w:szCs w:val="28"/>
          <w:lang w:val="en-US" w:eastAsia="zh-CN"/>
        </w:rPr>
        <w:t>1</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ascii="仿宋_GB2312" w:hAnsi="仿宋_GB2312"/>
          <w:sz w:val="28"/>
          <w:szCs w:val="28"/>
        </w:rPr>
        <w:t>本单位不在机关运行经费统计范围之内</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left="54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0.29</w:t>
      </w:r>
      <w:r>
        <w:rPr>
          <w:rFonts w:hint="eastAsia" w:ascii="仿宋_GB2312" w:eastAsia="仿宋_GB2312"/>
          <w:sz w:val="28"/>
          <w:szCs w:val="28"/>
        </w:rPr>
        <w:t>万元，其中</w:t>
      </w:r>
      <w:r>
        <w:rPr>
          <w:rFonts w:hint="eastAsia" w:ascii="仿宋" w:hAnsi="仿宋" w:eastAsia="仿宋"/>
          <w:sz w:val="28"/>
          <w:szCs w:val="28"/>
        </w:rPr>
        <w:t>政府采购货物支出0万元， 政府采购工程支出0  政府采购服务支出0.29 授予中小企业合同金额0.29，占政府采购支出总额的 100%，其中：授予小微企业合同金额0.29，占政府采购支出总额的 100%。</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12月31日，北京市大兴区中小学综合实践活动基地</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keepNext w:val="0"/>
        <w:keepLines w:val="0"/>
        <w:pageBreakBefore w:val="0"/>
        <w:widowControl w:val="0"/>
        <w:tabs>
          <w:tab w:val="center" w:pos="6979"/>
        </w:tabs>
        <w:kinsoku/>
        <w:wordWrap/>
        <w:overflowPunct/>
        <w:topLinePunct w:val="0"/>
        <w:autoSpaceDE/>
        <w:autoSpaceDN/>
        <w:bidi w:val="0"/>
        <w:adjustRightInd/>
        <w:snapToGrid/>
        <w:spacing w:before="156" w:beforeLines="50" w:after="156" w:afterLines="50"/>
        <w:ind w:firstLine="560" w:firstLineChars="200"/>
        <w:jc w:val="left"/>
        <w:textAlignment w:val="auto"/>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keepNext w:val="0"/>
        <w:keepLines w:val="0"/>
        <w:pageBreakBefore w:val="0"/>
        <w:widowControl w:val="0"/>
        <w:tabs>
          <w:tab w:val="center" w:pos="6979"/>
        </w:tabs>
        <w:kinsoku/>
        <w:wordWrap/>
        <w:overflowPunct/>
        <w:topLinePunct w:val="0"/>
        <w:autoSpaceDE/>
        <w:autoSpaceDN/>
        <w:bidi w:val="0"/>
        <w:adjustRightInd/>
        <w:snapToGrid/>
        <w:spacing w:before="156" w:beforeLines="50" w:after="156" w:afterLines="50"/>
        <w:ind w:firstLine="560" w:firstLineChars="200"/>
        <w:jc w:val="left"/>
        <w:textAlignment w:val="auto"/>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keepNext w:val="0"/>
        <w:keepLines w:val="0"/>
        <w:pageBreakBefore w:val="0"/>
        <w:widowControl w:val="0"/>
        <w:tabs>
          <w:tab w:val="center" w:pos="6979"/>
        </w:tabs>
        <w:kinsoku/>
        <w:wordWrap/>
        <w:overflowPunct/>
        <w:topLinePunct w:val="0"/>
        <w:autoSpaceDE/>
        <w:autoSpaceDN/>
        <w:bidi w:val="0"/>
        <w:adjustRightInd/>
        <w:snapToGrid/>
        <w:spacing w:before="156" w:beforeLines="50" w:after="156" w:afterLines="50"/>
        <w:ind w:firstLine="560" w:firstLineChars="200"/>
        <w:jc w:val="left"/>
        <w:textAlignment w:val="auto"/>
        <w:rPr>
          <w:rFonts w:ascii="仿宋_GB2312" w:eastAsia="仿宋_GB2312"/>
          <w:sz w:val="28"/>
          <w:szCs w:val="28"/>
        </w:rPr>
      </w:pPr>
      <w:r>
        <w:rPr>
          <w:rFonts w:hint="eastAsia" w:ascii="仿宋_GB2312" w:eastAsia="仿宋_GB2312"/>
          <w:sz w:val="28"/>
          <w:szCs w:val="28"/>
        </w:rPr>
        <w:t>3.“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keepNext w:val="0"/>
        <w:keepLines w:val="0"/>
        <w:pageBreakBefore w:val="0"/>
        <w:widowControl w:val="0"/>
        <w:tabs>
          <w:tab w:val="center" w:pos="6979"/>
        </w:tabs>
        <w:kinsoku/>
        <w:wordWrap/>
        <w:overflowPunct/>
        <w:topLinePunct w:val="0"/>
        <w:autoSpaceDE/>
        <w:autoSpaceDN/>
        <w:bidi w:val="0"/>
        <w:adjustRightInd/>
        <w:snapToGrid/>
        <w:spacing w:before="156" w:beforeLines="50" w:after="156" w:afterLines="50"/>
        <w:ind w:firstLine="560" w:firstLineChars="200"/>
        <w:jc w:val="left"/>
        <w:textAlignment w:val="auto"/>
        <w:rPr>
          <w:rFonts w:ascii="仿宋_GB2312" w:eastAsia="仿宋_GB2312"/>
          <w:sz w:val="28"/>
          <w:szCs w:val="28"/>
        </w:rPr>
      </w:pPr>
      <w:r>
        <w:rPr>
          <w:rFonts w:hint="eastAsia" w:ascii="仿宋_GB2312" w:eastAsia="仿宋_GB2312"/>
          <w:sz w:val="28"/>
          <w:szCs w:val="28"/>
        </w:rPr>
        <w:t>4.政府采购：指各级国家机关、事业单位和团体组织，使用财政性资金采购依法制定的集中目录以内的或者采购限额标准以上的货物、工程和服务的行为，是规范财政支出管理和强化预算约束的有效措施。</w:t>
      </w:r>
    </w:p>
    <w:p>
      <w:pPr>
        <w:keepNext w:val="0"/>
        <w:keepLines w:val="0"/>
        <w:pageBreakBefore w:val="0"/>
        <w:widowControl w:val="0"/>
        <w:tabs>
          <w:tab w:val="center" w:pos="6979"/>
        </w:tabs>
        <w:kinsoku/>
        <w:wordWrap/>
        <w:overflowPunct/>
        <w:topLinePunct w:val="0"/>
        <w:autoSpaceDE/>
        <w:autoSpaceDN/>
        <w:bidi w:val="0"/>
        <w:adjustRightInd/>
        <w:snapToGrid/>
        <w:spacing w:before="156" w:beforeLines="50" w:after="156" w:afterLines="50"/>
        <w:ind w:firstLine="560" w:firstLineChars="200"/>
        <w:jc w:val="left"/>
        <w:textAlignment w:val="auto"/>
        <w:rPr>
          <w:rFonts w:ascii="仿宋_GB2312" w:eastAsia="仿宋_GB2312"/>
          <w:sz w:val="28"/>
          <w:szCs w:val="28"/>
        </w:rPr>
      </w:pPr>
      <w:r>
        <w:rPr>
          <w:rFonts w:hint="eastAsia" w:ascii="仿宋_GB2312" w:eastAsia="仿宋_GB2312"/>
          <w:sz w:val="28"/>
          <w:szCs w:val="28"/>
        </w:rPr>
        <w:t>5.政府购买服务：是指各级国家机关将属于自身职责范围且适合通过市场化方式提供的服务事项，按照政府采购方式和程序，交由符合条件的服务供应商承担，并根据服务数量和质量等因素向其支付费用的行为。</w:t>
      </w:r>
    </w:p>
    <w:p>
      <w:pPr>
        <w:keepNext w:val="0"/>
        <w:keepLines w:val="0"/>
        <w:pageBreakBefore w:val="0"/>
        <w:widowControl w:val="0"/>
        <w:tabs>
          <w:tab w:val="center" w:pos="6979"/>
        </w:tabs>
        <w:kinsoku/>
        <w:wordWrap/>
        <w:overflowPunct/>
        <w:topLinePunct w:val="0"/>
        <w:autoSpaceDE/>
        <w:autoSpaceDN/>
        <w:bidi w:val="0"/>
        <w:adjustRightInd/>
        <w:snapToGrid/>
        <w:spacing w:before="156" w:beforeLines="50" w:after="156" w:afterLines="50"/>
        <w:ind w:firstLine="560" w:firstLineChars="200"/>
        <w:jc w:val="left"/>
        <w:textAlignment w:val="auto"/>
        <w:rPr>
          <w:rFonts w:ascii="仿宋_GB2312" w:eastAsia="仿宋_GB2312"/>
          <w:sz w:val="28"/>
          <w:szCs w:val="28"/>
        </w:rPr>
      </w:pPr>
      <w:r>
        <w:rPr>
          <w:rFonts w:hint="eastAsia" w:ascii="仿宋_GB2312" w:eastAsia="仿宋_GB2312"/>
          <w:sz w:val="28"/>
          <w:szCs w:val="28"/>
        </w:rPr>
        <w:t>6. 教育支出（类）普通教育（款）小学教育（项）：反映各部门举办的小学教育支出。政府各部门对社会组织等举办的小学的资助，如捐赠、补贴等，也在本科目中反映。</w:t>
      </w:r>
    </w:p>
    <w:p>
      <w:pPr>
        <w:keepNext w:val="0"/>
        <w:keepLines w:val="0"/>
        <w:pageBreakBefore w:val="0"/>
        <w:widowControl w:val="0"/>
        <w:tabs>
          <w:tab w:val="center" w:pos="6979"/>
        </w:tabs>
        <w:kinsoku/>
        <w:wordWrap/>
        <w:overflowPunct/>
        <w:topLinePunct w:val="0"/>
        <w:autoSpaceDE/>
        <w:autoSpaceDN/>
        <w:bidi w:val="0"/>
        <w:adjustRightInd/>
        <w:snapToGrid/>
        <w:spacing w:before="156" w:beforeLines="50" w:after="156" w:afterLines="50"/>
        <w:ind w:firstLine="560" w:firstLineChars="200"/>
        <w:jc w:val="left"/>
        <w:textAlignment w:val="auto"/>
        <w:rPr>
          <w:rFonts w:hint="eastAsia" w:ascii="仿宋_GB2312" w:eastAsia="仿宋_GB2312"/>
          <w:sz w:val="28"/>
          <w:szCs w:val="28"/>
          <w:lang w:eastAsia="zh-CN"/>
        </w:rPr>
      </w:pPr>
      <w:r>
        <w:rPr>
          <w:rFonts w:hint="eastAsia" w:ascii="仿宋_GB2312" w:eastAsia="仿宋_GB2312"/>
          <w:sz w:val="28"/>
          <w:szCs w:val="28"/>
        </w:rPr>
        <w:t>7.社会保障和就业支出（类）行政事业单位养老支出（款）事业单位离退休（项）：反映事业单位开支的离退休经费</w:t>
      </w:r>
      <w:r>
        <w:rPr>
          <w:rFonts w:hint="eastAsia" w:ascii="仿宋_GB2312" w:eastAsia="仿宋_GB2312"/>
          <w:sz w:val="28"/>
          <w:szCs w:val="28"/>
          <w:lang w:eastAsia="zh-CN"/>
        </w:rPr>
        <w:t>。</w:t>
      </w:r>
    </w:p>
    <w:p>
      <w:pPr>
        <w:keepNext w:val="0"/>
        <w:keepLines w:val="0"/>
        <w:pageBreakBefore w:val="0"/>
        <w:widowControl w:val="0"/>
        <w:tabs>
          <w:tab w:val="center" w:pos="6979"/>
        </w:tabs>
        <w:kinsoku/>
        <w:wordWrap/>
        <w:overflowPunct/>
        <w:topLinePunct w:val="0"/>
        <w:autoSpaceDE/>
        <w:autoSpaceDN/>
        <w:bidi w:val="0"/>
        <w:adjustRightInd/>
        <w:snapToGrid/>
        <w:spacing w:before="156" w:beforeLines="50" w:after="156" w:afterLines="50"/>
        <w:ind w:firstLine="560" w:firstLineChars="200"/>
        <w:jc w:val="left"/>
        <w:textAlignment w:val="auto"/>
        <w:rPr>
          <w:rFonts w:ascii="仿宋_GB2312" w:eastAsia="仿宋_GB2312"/>
          <w:sz w:val="28"/>
          <w:szCs w:val="28"/>
        </w:rPr>
      </w:pPr>
      <w:r>
        <w:rPr>
          <w:rFonts w:hint="eastAsia" w:ascii="仿宋_GB2312" w:eastAsia="仿宋_GB2312"/>
          <w:sz w:val="28"/>
          <w:szCs w:val="28"/>
        </w:rPr>
        <w:t>8.社会保障和就业支出（类）行政事业单位养老支出（款）机关事业单位基本养老保险缴费支出（项）：反映机关事业单位实施养老保险制度由单位缴纳的基本养老保险支出。</w:t>
      </w:r>
    </w:p>
    <w:p>
      <w:pPr>
        <w:keepNext w:val="0"/>
        <w:keepLines w:val="0"/>
        <w:pageBreakBefore w:val="0"/>
        <w:widowControl w:val="0"/>
        <w:tabs>
          <w:tab w:val="center" w:pos="6979"/>
        </w:tabs>
        <w:kinsoku/>
        <w:wordWrap/>
        <w:overflowPunct/>
        <w:topLinePunct w:val="0"/>
        <w:autoSpaceDE/>
        <w:autoSpaceDN/>
        <w:bidi w:val="0"/>
        <w:adjustRightInd/>
        <w:snapToGrid/>
        <w:spacing w:before="156" w:beforeLines="50" w:after="156" w:afterLines="50"/>
        <w:ind w:firstLine="560" w:firstLineChars="200"/>
        <w:jc w:val="left"/>
        <w:textAlignment w:val="auto"/>
        <w:rPr>
          <w:rFonts w:ascii="仿宋_GB2312" w:eastAsia="仿宋_GB2312"/>
          <w:sz w:val="28"/>
          <w:szCs w:val="28"/>
        </w:rPr>
      </w:pPr>
      <w:r>
        <w:rPr>
          <w:rFonts w:hint="eastAsia" w:ascii="仿宋_GB2312" w:eastAsia="仿宋_GB2312"/>
          <w:sz w:val="28"/>
          <w:szCs w:val="28"/>
        </w:rPr>
        <w:t>9.社会保障和就业支出（类）行政事业单位养老支出（款）机关事业单位职业年金缴费支出（项）：反映机关事业单位实施养老保险制度由单位实际缴纳的职业年金支出。</w:t>
      </w:r>
    </w:p>
    <w:p>
      <w:pPr>
        <w:keepNext w:val="0"/>
        <w:keepLines w:val="0"/>
        <w:pageBreakBefore w:val="0"/>
        <w:widowControl w:val="0"/>
        <w:tabs>
          <w:tab w:val="center" w:pos="6979"/>
        </w:tabs>
        <w:kinsoku/>
        <w:wordWrap/>
        <w:overflowPunct/>
        <w:topLinePunct w:val="0"/>
        <w:autoSpaceDE/>
        <w:autoSpaceDN/>
        <w:bidi w:val="0"/>
        <w:adjustRightInd/>
        <w:snapToGrid/>
        <w:spacing w:before="156" w:beforeLines="50" w:after="156" w:afterLines="50"/>
        <w:ind w:firstLine="560" w:firstLineChars="200"/>
        <w:jc w:val="left"/>
        <w:textAlignment w:val="auto"/>
        <w:rPr>
          <w:rFonts w:ascii="仿宋_GB2312" w:eastAsia="仿宋_GB2312"/>
          <w:sz w:val="28"/>
          <w:szCs w:val="28"/>
        </w:rPr>
      </w:pPr>
      <w:r>
        <w:rPr>
          <w:rFonts w:hint="eastAsia" w:ascii="仿宋_GB2312" w:eastAsia="仿宋_GB2312"/>
          <w:sz w:val="28"/>
          <w:szCs w:val="28"/>
        </w:rPr>
        <w:t>10.卫生健康支出（类）公共卫生（款）突发公共卫生事件应急处理（项）：反映用于突发公共卫生事件应急处理的支出。</w:t>
      </w:r>
    </w:p>
    <w:p>
      <w:pPr>
        <w:keepNext w:val="0"/>
        <w:keepLines w:val="0"/>
        <w:pageBreakBefore w:val="0"/>
        <w:widowControl w:val="0"/>
        <w:tabs>
          <w:tab w:val="center" w:pos="6979"/>
        </w:tabs>
        <w:kinsoku/>
        <w:wordWrap/>
        <w:overflowPunct/>
        <w:topLinePunct w:val="0"/>
        <w:autoSpaceDE/>
        <w:autoSpaceDN/>
        <w:bidi w:val="0"/>
        <w:adjustRightInd/>
        <w:snapToGrid/>
        <w:spacing w:before="156" w:beforeLines="50" w:after="156" w:afterLines="50"/>
        <w:ind w:firstLine="560" w:firstLineChars="200"/>
        <w:jc w:val="left"/>
        <w:textAlignment w:val="auto"/>
        <w:rPr>
          <w:rFonts w:ascii="仿宋_GB2312" w:eastAsia="仿宋_GB2312"/>
          <w:sz w:val="28"/>
          <w:szCs w:val="28"/>
        </w:rPr>
      </w:pPr>
      <w:r>
        <w:rPr>
          <w:rFonts w:hint="eastAsia" w:ascii="仿宋_GB2312" w:eastAsia="仿宋_GB2312"/>
          <w:sz w:val="28"/>
          <w:szCs w:val="28"/>
        </w:rPr>
        <w:t>11.卫生健康支出（类）行政事业单位医疗（款）事业单位医疗（项）：反映财政部门安排的事业单位基本医疗保险缴费经费，未参加医疗保险的事业单位的公费医疗经费，按国家规定享受离休人员待遇的医疗经费。</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黑体" w:eastAsia="黑体"/>
          <w:sz w:val="32"/>
          <w:szCs w:val="32"/>
        </w:rPr>
      </w:pPr>
      <w:r>
        <w:rPr>
          <w:rFonts w:hint="eastAsia" w:ascii="仿宋_GB2312" w:eastAsia="仿宋_GB2312"/>
          <w:sz w:val="28"/>
          <w:szCs w:val="28"/>
        </w:rPr>
        <w:t>12.卫生健康支出（类）行政事业单位医疗（款）公务员医疗补助（项）：反映财政部门安排的公务员医疗补助经费。</w:t>
      </w: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28"/>
          <w:szCs w:val="28"/>
          <w:highlight w:val="yellow"/>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hAnsi="黑体" w:eastAsia="黑体"/>
          <w:sz w:val="28"/>
          <w:szCs w:val="28"/>
          <w:lang w:eastAsia="zh-CN"/>
        </w:rPr>
      </w:pPr>
      <w:r>
        <w:rPr>
          <w:rFonts w:hint="eastAsia" w:ascii="黑体" w:hAnsi="黑体" w:eastAsia="黑体"/>
          <w:sz w:val="28"/>
          <w:szCs w:val="28"/>
        </w:rPr>
        <w:t>项目支出绩效自评表</w:t>
      </w:r>
      <w:r>
        <w:rPr>
          <w:rFonts w:hint="eastAsia" w:ascii="黑体" w:hAnsi="黑体" w:eastAsia="黑体"/>
          <w:sz w:val="28"/>
          <w:szCs w:val="28"/>
          <w:lang w:eastAsia="zh-CN"/>
        </w:rPr>
        <w:t>（</w:t>
      </w:r>
      <w:r>
        <w:rPr>
          <w:rFonts w:hint="eastAsia" w:ascii="黑体" w:hAnsi="黑体" w:eastAsia="黑体"/>
          <w:sz w:val="28"/>
          <w:szCs w:val="28"/>
          <w:lang w:val="en-US" w:eastAsia="zh-CN"/>
        </w:rPr>
        <w:t>详见附件</w:t>
      </w:r>
      <w:r>
        <w:rPr>
          <w:rFonts w:hint="eastAsia" w:ascii="黑体" w:hAnsi="黑体" w:eastAsia="黑体"/>
          <w:sz w:val="28"/>
          <w:szCs w:val="28"/>
          <w:lang w:eastAsia="zh-CN"/>
        </w:rPr>
        <w:t>）</w:t>
      </w:r>
    </w:p>
    <w:p>
      <w:pPr>
        <w:spacing w:line="480" w:lineRule="exact"/>
      </w:pPr>
      <w:r>
        <w:rPr>
          <w:rFonts w:hint="eastAsia" w:ascii="仿宋_GB2312" w:hAnsi="仿宋_GB2312"/>
          <w:sz w:val="28"/>
          <w:szCs w:val="28"/>
        </w:rPr>
        <w:t xml:space="preserve">  </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96D90"/>
    <w:multiLevelType w:val="singleLevel"/>
    <w:tmpl w:val="0E496D90"/>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9E72896"/>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678205E"/>
    <w:rsid w:val="27196C26"/>
    <w:rsid w:val="29EF086F"/>
    <w:rsid w:val="2BC34C59"/>
    <w:rsid w:val="2D132E56"/>
    <w:rsid w:val="2EFFE297"/>
    <w:rsid w:val="301437CA"/>
    <w:rsid w:val="334822A6"/>
    <w:rsid w:val="349D1F0A"/>
    <w:rsid w:val="34DD0473"/>
    <w:rsid w:val="380802C2"/>
    <w:rsid w:val="3A8E35DC"/>
    <w:rsid w:val="3AF13CEA"/>
    <w:rsid w:val="3C684897"/>
    <w:rsid w:val="433E495C"/>
    <w:rsid w:val="489F2FD7"/>
    <w:rsid w:val="4AC27CB3"/>
    <w:rsid w:val="4BF72BEF"/>
    <w:rsid w:val="4FA90297"/>
    <w:rsid w:val="4FC41A43"/>
    <w:rsid w:val="51DB3C59"/>
    <w:rsid w:val="53463B39"/>
    <w:rsid w:val="542645AC"/>
    <w:rsid w:val="550C0952"/>
    <w:rsid w:val="55762E42"/>
    <w:rsid w:val="57A7B272"/>
    <w:rsid w:val="58470068"/>
    <w:rsid w:val="58747CAC"/>
    <w:rsid w:val="5A1720F9"/>
    <w:rsid w:val="5B61485C"/>
    <w:rsid w:val="5B9C37C2"/>
    <w:rsid w:val="5BA7C654"/>
    <w:rsid w:val="5DF716AE"/>
    <w:rsid w:val="5F487A11"/>
    <w:rsid w:val="5F9F507E"/>
    <w:rsid w:val="60A54109"/>
    <w:rsid w:val="61D01CDF"/>
    <w:rsid w:val="63D00091"/>
    <w:rsid w:val="64C0607C"/>
    <w:rsid w:val="65756C86"/>
    <w:rsid w:val="674D385B"/>
    <w:rsid w:val="676F09E1"/>
    <w:rsid w:val="6D630A5A"/>
    <w:rsid w:val="6DDA4AFE"/>
    <w:rsid w:val="70656A5A"/>
    <w:rsid w:val="71691990"/>
    <w:rsid w:val="71793A80"/>
    <w:rsid w:val="7357290B"/>
    <w:rsid w:val="756E3DEA"/>
    <w:rsid w:val="76FB1693"/>
    <w:rsid w:val="77A63A65"/>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manualLayout>
          <c:layoutTarget val="inner"/>
          <c:xMode val="edge"/>
          <c:yMode val="edge"/>
          <c:x val="0.319034135598553"/>
          <c:y val="0.313089719116444"/>
          <c:w val="0.371684756960831"/>
          <c:h val="0.644341423506954"/>
        </c:manualLayout>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0"/>
              <c:layout>
                <c:manualLayout>
                  <c:x val="-0.00943921352903231"/>
                  <c:y val="-0.253206399310115"/>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1"/>
              <c:delete val="1"/>
            </c:dLbl>
            <c:dLbl>
              <c:idx val="2"/>
              <c:delete val="1"/>
            </c:dLbl>
            <c:dLbl>
              <c:idx val="3"/>
              <c:delete val="1"/>
            </c:dLbl>
            <c:dLbl>
              <c:idx val="4"/>
              <c:delete val="1"/>
            </c:dLbl>
            <c:dLbl>
              <c:idx val="5"/>
              <c:delete val="1"/>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805.01</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egendEntry>
        <c:idx val="1"/>
        <c:delete val="1"/>
      </c:legendEntry>
      <c:legendEntry>
        <c:idx val="2"/>
        <c:delete val="1"/>
      </c:legendEntry>
      <c:legendEntry>
        <c:idx val="3"/>
        <c:delete val="1"/>
      </c:legendEntry>
      <c:legendEntry>
        <c:idx val="4"/>
        <c:delete val="1"/>
      </c:legendEntry>
      <c:legendEntry>
        <c:idx val="5"/>
        <c:delete val="1"/>
      </c:legendEntry>
      <c:layout>
        <c:manualLayout>
          <c:xMode val="edge"/>
          <c:yMode val="edge"/>
          <c:x val="0.34906402391065"/>
          <c:y val="0.175620398145623"/>
        </c:manualLayout>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manualLayout>
          <c:layoutTarget val="inner"/>
          <c:xMode val="edge"/>
          <c:yMode val="edge"/>
          <c:x val="0.315361111111111"/>
          <c:y val="0.327569444444444"/>
          <c:w val="0.352611111111111"/>
          <c:h val="0.587685185185185"/>
        </c:manualLayout>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582.71</c:v>
                </c:pt>
                <c:pt idx="1">
                  <c:v>260.89</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delete val="1"/>
      </c:legendEntry>
      <c:legendEntry>
        <c:idx val="3"/>
        <c:delete val="1"/>
      </c:legendEntry>
      <c:legendEntry>
        <c:idx val="4"/>
        <c:delete val="1"/>
      </c:legendEntry>
      <c:layout>
        <c:manualLayout>
          <c:xMode val="edge"/>
          <c:yMode val="edge"/>
          <c:x val="0.324444444444444"/>
          <c:y val="0.178703703703704"/>
          <c:w val="0.335416666666667"/>
          <c:h val="0.104166666666667"/>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3718</Words>
  <Characters>4217</Characters>
  <Lines>44</Lines>
  <Paragraphs>12</Paragraphs>
  <TotalTime>5</TotalTime>
  <ScaleCrop>false</ScaleCrop>
  <LinksUpToDate>false</LinksUpToDate>
  <CharactersWithSpaces>4247</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pc</cp:lastModifiedBy>
  <cp:lastPrinted>2020-08-09T03:39:00Z</cp:lastPrinted>
  <dcterms:modified xsi:type="dcterms:W3CDTF">2025-11-06T07:59:44Z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A7F78878FB63AC2F75B4B7682BD79272</vt:lpwstr>
  </property>
  <property fmtid="{D5CDD505-2E9C-101B-9397-08002B2CF9AE}" pid="4" name="KSOTemplateDocerSaveRecord">
    <vt:lpwstr>eyJoZGlkIjoiZDFhNmMzODM4NDgyMTllNjcxZTc5MGVjMjQ4OTBhMTYiLCJ1c2VySWQiOiI2NTAxNzY5ODYifQ==</vt:lpwstr>
  </property>
</Properties>
</file>