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Y="-19478"/>
        <w:tblW w:w="5000" w:type="pct"/>
        <w:tblLook w:val="04A0" w:firstRow="1" w:lastRow="0" w:firstColumn="1" w:lastColumn="0" w:noHBand="0" w:noVBand="1"/>
      </w:tblPr>
      <w:tblGrid>
        <w:gridCol w:w="396"/>
        <w:gridCol w:w="635"/>
        <w:gridCol w:w="911"/>
        <w:gridCol w:w="627"/>
        <w:gridCol w:w="635"/>
        <w:gridCol w:w="180"/>
        <w:gridCol w:w="929"/>
        <w:gridCol w:w="866"/>
        <w:gridCol w:w="462"/>
        <w:gridCol w:w="419"/>
        <w:gridCol w:w="492"/>
        <w:gridCol w:w="425"/>
        <w:gridCol w:w="655"/>
        <w:gridCol w:w="661"/>
        <w:gridCol w:w="13"/>
      </w:tblGrid>
      <w:tr w:rsidR="00351394" w:rsidTr="003278A3">
        <w:trPr>
          <w:trHeight w:val="393"/>
        </w:trPr>
        <w:tc>
          <w:tcPr>
            <w:tcW w:w="5000" w:type="pct"/>
            <w:gridSpan w:val="15"/>
            <w:tcBorders>
              <w:top w:val="nil"/>
              <w:left w:val="nil"/>
              <w:bottom w:val="nil"/>
              <w:right w:val="nil"/>
            </w:tcBorders>
            <w:shd w:val="clear" w:color="auto" w:fill="auto"/>
            <w:vAlign w:val="center"/>
          </w:tcPr>
          <w:p w:rsidR="00351394" w:rsidRDefault="00351394" w:rsidP="003278A3">
            <w:pPr>
              <w:widowControl/>
              <w:jc w:val="center"/>
              <w:rPr>
                <w:rFonts w:ascii="宋体" w:hAnsi="宋体" w:cs="宋体"/>
                <w:b/>
                <w:bCs/>
                <w:color w:val="000000"/>
                <w:kern w:val="0"/>
                <w:sz w:val="32"/>
                <w:szCs w:val="32"/>
              </w:rPr>
            </w:pPr>
          </w:p>
          <w:p w:rsidR="00351394" w:rsidRDefault="00351394" w:rsidP="003278A3">
            <w:pPr>
              <w:widowControl/>
              <w:rPr>
                <w:rFonts w:ascii="宋体" w:hAnsi="宋体" w:cs="宋体"/>
                <w:b/>
                <w:bCs/>
                <w:color w:val="000000"/>
                <w:kern w:val="0"/>
                <w:sz w:val="32"/>
                <w:szCs w:val="32"/>
              </w:rPr>
            </w:pPr>
          </w:p>
          <w:p w:rsidR="00351394" w:rsidRDefault="00351394" w:rsidP="003278A3">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351394" w:rsidTr="003278A3">
        <w:trPr>
          <w:trHeight w:val="305"/>
        </w:trPr>
        <w:tc>
          <w:tcPr>
            <w:tcW w:w="5000" w:type="pct"/>
            <w:gridSpan w:val="15"/>
            <w:tcBorders>
              <w:top w:val="nil"/>
              <w:left w:val="nil"/>
              <w:bottom w:val="nil"/>
              <w:right w:val="nil"/>
            </w:tcBorders>
            <w:shd w:val="clear" w:color="auto" w:fill="auto"/>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（2024年度）</w:t>
            </w:r>
          </w:p>
        </w:tc>
      </w:tr>
      <w:tr w:rsidR="00351394" w:rsidTr="003278A3">
        <w:trPr>
          <w:trHeight w:val="305"/>
        </w:trPr>
        <w:tc>
          <w:tcPr>
            <w:tcW w:w="6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4384" w:type="pct"/>
            <w:gridSpan w:val="1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集中培训-2024年督导人员培训项目</w:t>
            </w:r>
          </w:p>
        </w:tc>
      </w:tr>
      <w:tr w:rsidR="00351394" w:rsidTr="003278A3">
        <w:trPr>
          <w:trHeight w:val="305"/>
        </w:trPr>
        <w:tc>
          <w:tcPr>
            <w:tcW w:w="6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1978" w:type="pct"/>
            <w:gridSpan w:val="5"/>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80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1604" w:type="pct"/>
            <w:gridSpan w:val="6"/>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教育综合督导评价中心</w:t>
            </w:r>
          </w:p>
        </w:tc>
      </w:tr>
      <w:tr w:rsidR="00351394" w:rsidTr="003278A3">
        <w:trPr>
          <w:gridAfter w:val="1"/>
          <w:wAfter w:w="7" w:type="pct"/>
          <w:trHeight w:val="312"/>
        </w:trPr>
        <w:tc>
          <w:tcPr>
            <w:tcW w:w="615"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9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w:t>
            </w:r>
          </w:p>
        </w:tc>
        <w:tc>
          <w:tcPr>
            <w:tcW w:w="6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80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5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6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397" w:type="pct"/>
            <w:vMerge w:val="restart"/>
            <w:tcBorders>
              <w:top w:val="nil"/>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351394" w:rsidTr="003278A3">
        <w:trPr>
          <w:gridAfter w:val="1"/>
          <w:wAfter w:w="7" w:type="pct"/>
          <w:trHeight w:val="312"/>
        </w:trPr>
        <w:tc>
          <w:tcPr>
            <w:tcW w:w="615"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left"/>
              <w:rPr>
                <w:rFonts w:ascii="宋体" w:hAnsi="宋体" w:cs="宋体"/>
                <w:color w:val="000000"/>
                <w:kern w:val="0"/>
                <w:sz w:val="18"/>
                <w:szCs w:val="18"/>
              </w:rPr>
            </w:pPr>
          </w:p>
        </w:tc>
        <w:tc>
          <w:tcPr>
            <w:tcW w:w="927" w:type="pct"/>
            <w:gridSpan w:val="2"/>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3" w:type="pct"/>
            <w:vMerge/>
            <w:tcBorders>
              <w:top w:val="nil"/>
              <w:left w:val="single" w:sz="4" w:space="0" w:color="auto"/>
              <w:bottom w:val="single" w:sz="4" w:space="0" w:color="auto"/>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668" w:type="pct"/>
            <w:gridSpan w:val="2"/>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801" w:type="pct"/>
            <w:gridSpan w:val="2"/>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549" w:type="pct"/>
            <w:gridSpan w:val="2"/>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650" w:type="pct"/>
            <w:gridSpan w:val="2"/>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97" w:type="pct"/>
            <w:vMerge/>
            <w:tcBorders>
              <w:top w:val="nil"/>
              <w:left w:val="single" w:sz="4" w:space="0" w:color="auto"/>
              <w:bottom w:val="single" w:sz="4" w:space="0" w:color="auto"/>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r>
      <w:tr w:rsidR="00351394" w:rsidTr="003278A3">
        <w:trPr>
          <w:gridAfter w:val="1"/>
          <w:wAfter w:w="7" w:type="pct"/>
          <w:trHeight w:val="305"/>
        </w:trPr>
        <w:tc>
          <w:tcPr>
            <w:tcW w:w="615"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left"/>
              <w:rPr>
                <w:rFonts w:ascii="宋体" w:hAnsi="宋体" w:cs="宋体"/>
                <w:color w:val="000000"/>
                <w:kern w:val="0"/>
                <w:sz w:val="18"/>
                <w:szCs w:val="18"/>
              </w:rPr>
            </w:pPr>
          </w:p>
        </w:tc>
        <w:tc>
          <w:tcPr>
            <w:tcW w:w="92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38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23</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23</w:t>
            </w:r>
          </w:p>
        </w:tc>
        <w:tc>
          <w:tcPr>
            <w:tcW w:w="80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2.7</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10分</w:t>
            </w:r>
          </w:p>
        </w:tc>
        <w:tc>
          <w:tcPr>
            <w:tcW w:w="650"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11.70%</w:t>
            </w:r>
          </w:p>
        </w:tc>
        <w:tc>
          <w:tcPr>
            <w:tcW w:w="39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r>
      <w:tr w:rsidR="00351394" w:rsidTr="003278A3">
        <w:trPr>
          <w:gridAfter w:val="1"/>
          <w:wAfter w:w="7" w:type="pct"/>
          <w:trHeight w:val="305"/>
        </w:trPr>
        <w:tc>
          <w:tcPr>
            <w:tcW w:w="615"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left"/>
              <w:rPr>
                <w:rFonts w:ascii="宋体" w:hAnsi="宋体" w:cs="宋体"/>
                <w:color w:val="000000"/>
                <w:kern w:val="0"/>
                <w:sz w:val="18"/>
                <w:szCs w:val="18"/>
              </w:rPr>
            </w:pPr>
          </w:p>
        </w:tc>
        <w:tc>
          <w:tcPr>
            <w:tcW w:w="92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38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0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50"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351394" w:rsidTr="003278A3">
        <w:trPr>
          <w:gridAfter w:val="1"/>
          <w:wAfter w:w="7" w:type="pct"/>
          <w:trHeight w:val="305"/>
        </w:trPr>
        <w:tc>
          <w:tcPr>
            <w:tcW w:w="615"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left"/>
              <w:rPr>
                <w:rFonts w:ascii="宋体" w:hAnsi="宋体" w:cs="宋体"/>
                <w:color w:val="000000"/>
                <w:kern w:val="0"/>
                <w:sz w:val="18"/>
                <w:szCs w:val="18"/>
              </w:rPr>
            </w:pPr>
          </w:p>
        </w:tc>
        <w:tc>
          <w:tcPr>
            <w:tcW w:w="92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上年结转资金</w:t>
            </w:r>
          </w:p>
        </w:tc>
        <w:tc>
          <w:tcPr>
            <w:tcW w:w="38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0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50"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351394" w:rsidTr="003278A3">
        <w:trPr>
          <w:gridAfter w:val="1"/>
          <w:wAfter w:w="7" w:type="pct"/>
          <w:trHeight w:val="305"/>
        </w:trPr>
        <w:tc>
          <w:tcPr>
            <w:tcW w:w="615"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left"/>
              <w:rPr>
                <w:rFonts w:ascii="宋体" w:hAnsi="宋体" w:cs="宋体"/>
                <w:color w:val="000000"/>
                <w:kern w:val="0"/>
                <w:sz w:val="18"/>
                <w:szCs w:val="18"/>
              </w:rPr>
            </w:pPr>
          </w:p>
        </w:tc>
        <w:tc>
          <w:tcPr>
            <w:tcW w:w="92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其他资金</w:t>
            </w:r>
          </w:p>
        </w:tc>
        <w:tc>
          <w:tcPr>
            <w:tcW w:w="38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0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50"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351394" w:rsidTr="003278A3">
        <w:trPr>
          <w:gridAfter w:val="1"/>
          <w:wAfter w:w="7" w:type="pct"/>
          <w:trHeight w:val="305"/>
        </w:trPr>
        <w:tc>
          <w:tcPr>
            <w:tcW w:w="615"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left"/>
              <w:rPr>
                <w:rFonts w:ascii="宋体" w:hAnsi="宋体" w:cs="宋体"/>
                <w:color w:val="000000"/>
                <w:kern w:val="0"/>
                <w:sz w:val="18"/>
                <w:szCs w:val="18"/>
              </w:rPr>
            </w:pPr>
          </w:p>
        </w:tc>
        <w:tc>
          <w:tcPr>
            <w:tcW w:w="92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38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0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50"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351394" w:rsidTr="003278A3">
        <w:trPr>
          <w:trHeight w:val="496"/>
        </w:trPr>
        <w:tc>
          <w:tcPr>
            <w:tcW w:w="232"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2362" w:type="pct"/>
            <w:gridSpan w:val="6"/>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2405" w:type="pct"/>
            <w:gridSpan w:val="8"/>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r>
      <w:tr w:rsidR="00351394" w:rsidTr="003278A3">
        <w:trPr>
          <w:trHeight w:val="894"/>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2362" w:type="pct"/>
            <w:gridSpan w:val="6"/>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对全体督导相关人员的培训，责任督学的培训，中小学的督导人员培训，幼儿园的督导人员培训，职业教育与成人教育的督导人员培训，学校督导员培训。从而提高我区教育督导人员的专业化，培养适应教育督导工作新形势的教育督导队伍。</w:t>
            </w:r>
          </w:p>
        </w:tc>
        <w:tc>
          <w:tcPr>
            <w:tcW w:w="2405" w:type="pct"/>
            <w:gridSpan w:val="8"/>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完成对全体督导相关人员的培训，责任督学的培训，中小学的督导人员培训，幼儿园的督导人员培训，职业教育与成人教育的督导人员培训，学校督导员培训。我区教育督导人员的专业化有所提高，适应教育督导工作新形势的教育督导队伍已经建立。</w:t>
            </w:r>
          </w:p>
        </w:tc>
      </w:tr>
      <w:tr w:rsidR="00351394" w:rsidTr="003278A3">
        <w:trPr>
          <w:gridAfter w:val="1"/>
          <w:wAfter w:w="7" w:type="pct"/>
          <w:trHeight w:val="742"/>
        </w:trPr>
        <w:tc>
          <w:tcPr>
            <w:tcW w:w="232"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p>
          <w:p w:rsidR="00351394" w:rsidRDefault="00351394" w:rsidP="003278A3">
            <w:pPr>
              <w:widowControl/>
              <w:jc w:val="center"/>
              <w:rPr>
                <w:rFonts w:ascii="宋体" w:hAnsi="宋体" w:cs="宋体"/>
                <w:color w:val="000000"/>
                <w:kern w:val="0"/>
                <w:sz w:val="18"/>
                <w:szCs w:val="18"/>
              </w:rPr>
            </w:pPr>
          </w:p>
          <w:p w:rsidR="00351394" w:rsidRDefault="00351394" w:rsidP="003278A3">
            <w:pPr>
              <w:widowControl/>
              <w:jc w:val="center"/>
              <w:rPr>
                <w:rFonts w:ascii="宋体" w:hAnsi="宋体" w:cs="宋体"/>
                <w:color w:val="000000"/>
                <w:kern w:val="0"/>
                <w:sz w:val="18"/>
                <w:szCs w:val="18"/>
              </w:rPr>
            </w:pPr>
          </w:p>
          <w:p w:rsidR="00351394" w:rsidRDefault="00351394" w:rsidP="003278A3">
            <w:pPr>
              <w:widowControl/>
              <w:jc w:val="center"/>
              <w:rPr>
                <w:rFonts w:ascii="宋体" w:hAnsi="宋体" w:cs="宋体"/>
                <w:color w:val="000000"/>
                <w:kern w:val="0"/>
                <w:sz w:val="18"/>
                <w:szCs w:val="18"/>
              </w:rPr>
            </w:pPr>
          </w:p>
          <w:p w:rsidR="00351394" w:rsidRDefault="00351394" w:rsidP="003278A3">
            <w:pPr>
              <w:widowControl/>
              <w:jc w:val="center"/>
              <w:rPr>
                <w:rFonts w:ascii="宋体" w:hAnsi="宋体" w:cs="宋体"/>
                <w:color w:val="000000"/>
                <w:kern w:val="0"/>
                <w:sz w:val="18"/>
                <w:szCs w:val="18"/>
              </w:rPr>
            </w:pPr>
          </w:p>
          <w:p w:rsidR="00351394" w:rsidRDefault="00351394" w:rsidP="003278A3">
            <w:pPr>
              <w:widowControl/>
              <w:jc w:val="center"/>
              <w:rPr>
                <w:rFonts w:ascii="宋体" w:hAnsi="宋体" w:cs="宋体"/>
                <w:color w:val="000000"/>
                <w:kern w:val="0"/>
                <w:sz w:val="18"/>
                <w:szCs w:val="18"/>
              </w:rPr>
            </w:pPr>
          </w:p>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38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54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870" w:type="pct"/>
            <w:gridSpan w:val="3"/>
            <w:tcBorders>
              <w:top w:val="single" w:sz="4" w:space="0" w:color="auto"/>
              <w:left w:val="nil"/>
              <w:bottom w:val="single" w:sz="4" w:space="0" w:color="auto"/>
              <w:right w:val="single" w:sz="4" w:space="0" w:color="000000"/>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55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52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792" w:type="pct"/>
            <w:gridSpan w:val="2"/>
            <w:tcBorders>
              <w:top w:val="single" w:sz="4" w:space="0" w:color="auto"/>
              <w:left w:val="nil"/>
              <w:bottom w:val="single" w:sz="4" w:space="0" w:color="auto"/>
              <w:right w:val="single" w:sz="4" w:space="0" w:color="000000"/>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r>
      <w:tr w:rsidR="00351394" w:rsidTr="003278A3">
        <w:trPr>
          <w:gridAfter w:val="1"/>
          <w:wAfter w:w="7" w:type="pct"/>
          <w:trHeight w:val="30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3"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产出指标（40分）</w:t>
            </w:r>
          </w:p>
        </w:tc>
        <w:tc>
          <w:tcPr>
            <w:tcW w:w="549"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87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全体督导人员培训的课程建设</w:t>
            </w:r>
          </w:p>
        </w:tc>
        <w:tc>
          <w:tcPr>
            <w:tcW w:w="55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3-11月</w:t>
            </w:r>
          </w:p>
        </w:tc>
        <w:tc>
          <w:tcPr>
            <w:tcW w:w="52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3-11月</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gridAfter w:val="1"/>
          <w:wAfter w:w="7" w:type="pct"/>
          <w:trHeight w:val="30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3"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549"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质量指标</w:t>
            </w:r>
          </w:p>
        </w:tc>
        <w:tc>
          <w:tcPr>
            <w:tcW w:w="87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全体督导人员培训的课程建设</w:t>
            </w:r>
          </w:p>
        </w:tc>
        <w:tc>
          <w:tcPr>
            <w:tcW w:w="55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提高教育督导人员的专业化知识</w:t>
            </w:r>
          </w:p>
        </w:tc>
        <w:tc>
          <w:tcPr>
            <w:tcW w:w="52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系统培训按月进行</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我区教育督导人员的专业化需继续提高。培训数量及内容还需改进。</w:t>
            </w:r>
          </w:p>
        </w:tc>
      </w:tr>
      <w:tr w:rsidR="00351394" w:rsidTr="003278A3">
        <w:trPr>
          <w:gridAfter w:val="1"/>
          <w:wAfter w:w="7" w:type="pct"/>
          <w:trHeight w:val="30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3"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549"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87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专家校内外课时指导</w:t>
            </w:r>
          </w:p>
        </w:tc>
        <w:tc>
          <w:tcPr>
            <w:tcW w:w="55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培养适应教育督导工作新形势的教</w:t>
            </w:r>
            <w:r>
              <w:rPr>
                <w:rFonts w:ascii="宋体" w:hAnsi="宋体" w:cs="宋体" w:hint="eastAsia"/>
                <w:color w:val="000000"/>
                <w:kern w:val="0"/>
                <w:sz w:val="18"/>
                <w:szCs w:val="18"/>
              </w:rPr>
              <w:lastRenderedPageBreak/>
              <w:t>育督导人员</w:t>
            </w:r>
          </w:p>
        </w:tc>
        <w:tc>
          <w:tcPr>
            <w:tcW w:w="52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系统培训按月进行</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我区教育督导人员的专业化需继续提高。培训数量及内容还需改进。</w:t>
            </w:r>
          </w:p>
        </w:tc>
      </w:tr>
      <w:tr w:rsidR="00351394" w:rsidTr="003278A3">
        <w:trPr>
          <w:gridAfter w:val="1"/>
          <w:wAfter w:w="7" w:type="pct"/>
          <w:trHeight w:val="30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3"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549"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时效指标</w:t>
            </w:r>
          </w:p>
        </w:tc>
        <w:tc>
          <w:tcPr>
            <w:tcW w:w="87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全体督导人员培训的课程建设及专家校内外课时指导活动</w:t>
            </w:r>
          </w:p>
        </w:tc>
        <w:tc>
          <w:tcPr>
            <w:tcW w:w="55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1年</w:t>
            </w:r>
          </w:p>
        </w:tc>
        <w:tc>
          <w:tcPr>
            <w:tcW w:w="52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1年</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gridAfter w:val="1"/>
          <w:wAfter w:w="7" w:type="pct"/>
          <w:trHeight w:val="30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3"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成本指标（10分）</w:t>
            </w:r>
          </w:p>
        </w:tc>
        <w:tc>
          <w:tcPr>
            <w:tcW w:w="54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经济成本指标</w:t>
            </w:r>
          </w:p>
        </w:tc>
        <w:tc>
          <w:tcPr>
            <w:tcW w:w="87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项目总预算</w:t>
            </w:r>
          </w:p>
        </w:tc>
        <w:tc>
          <w:tcPr>
            <w:tcW w:w="55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23万元</w:t>
            </w:r>
          </w:p>
        </w:tc>
        <w:tc>
          <w:tcPr>
            <w:tcW w:w="52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2.7万元</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培训计划需优化，执行力度需加强</w:t>
            </w:r>
          </w:p>
        </w:tc>
      </w:tr>
      <w:tr w:rsidR="00351394" w:rsidTr="003278A3">
        <w:trPr>
          <w:gridAfter w:val="1"/>
          <w:wAfter w:w="7" w:type="pct"/>
          <w:trHeight w:val="30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3"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54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社会成本指标</w:t>
            </w:r>
          </w:p>
        </w:tc>
        <w:tc>
          <w:tcPr>
            <w:tcW w:w="87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55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2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gridAfter w:val="1"/>
          <w:wAfter w:w="7" w:type="pct"/>
          <w:trHeight w:val="30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3"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54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生态环境成本指标</w:t>
            </w:r>
          </w:p>
        </w:tc>
        <w:tc>
          <w:tcPr>
            <w:tcW w:w="87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55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2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gridAfter w:val="1"/>
          <w:wAfter w:w="7" w:type="pct"/>
          <w:trHeight w:val="30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3"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效益指标（30分）</w:t>
            </w:r>
          </w:p>
        </w:tc>
        <w:tc>
          <w:tcPr>
            <w:tcW w:w="549"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经济效益指标</w:t>
            </w:r>
          </w:p>
        </w:tc>
        <w:tc>
          <w:tcPr>
            <w:tcW w:w="87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55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2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gridAfter w:val="1"/>
          <w:wAfter w:w="7" w:type="pct"/>
          <w:trHeight w:val="30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3"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549"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社会效益指标</w:t>
            </w:r>
          </w:p>
        </w:tc>
        <w:tc>
          <w:tcPr>
            <w:tcW w:w="87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提高我区教育督导人员的专业化，培养适应教育督导工作新形势的教育督导队伍</w:t>
            </w:r>
          </w:p>
        </w:tc>
        <w:tc>
          <w:tcPr>
            <w:tcW w:w="55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长效</w:t>
            </w:r>
          </w:p>
        </w:tc>
        <w:tc>
          <w:tcPr>
            <w:tcW w:w="52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我区教育督导人员的专业化有所提高，适应教育督导工作新形势的教育督导队伍已经建立。</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30</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27</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我区教育督导人员的专业化需继续提高。培训数量及内容还需改进。</w:t>
            </w:r>
          </w:p>
        </w:tc>
      </w:tr>
      <w:tr w:rsidR="00351394" w:rsidTr="003278A3">
        <w:trPr>
          <w:gridAfter w:val="1"/>
          <w:wAfter w:w="7" w:type="pct"/>
          <w:trHeight w:val="30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3"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549"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生态效益指标</w:t>
            </w:r>
          </w:p>
        </w:tc>
        <w:tc>
          <w:tcPr>
            <w:tcW w:w="87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55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2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gridAfter w:val="1"/>
          <w:wAfter w:w="7" w:type="pct"/>
          <w:trHeight w:val="408"/>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3"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549"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可持续影响指标</w:t>
            </w:r>
          </w:p>
        </w:tc>
        <w:tc>
          <w:tcPr>
            <w:tcW w:w="87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55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2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gridAfter w:val="1"/>
          <w:wAfter w:w="7" w:type="pct"/>
          <w:trHeight w:val="30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3"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满意度指标（10分）</w:t>
            </w:r>
          </w:p>
        </w:tc>
        <w:tc>
          <w:tcPr>
            <w:tcW w:w="549"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服务对象满意度指标</w:t>
            </w:r>
          </w:p>
        </w:tc>
        <w:tc>
          <w:tcPr>
            <w:tcW w:w="87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全体督导人员满意度</w:t>
            </w:r>
          </w:p>
        </w:tc>
        <w:tc>
          <w:tcPr>
            <w:tcW w:w="55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满意度≥95%</w:t>
            </w:r>
          </w:p>
        </w:tc>
        <w:tc>
          <w:tcPr>
            <w:tcW w:w="52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95%</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gridAfter w:val="1"/>
          <w:wAfter w:w="7" w:type="pct"/>
          <w:trHeight w:val="305"/>
        </w:trPr>
        <w:tc>
          <w:tcPr>
            <w:tcW w:w="311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80</w:t>
            </w:r>
          </w:p>
        </w:tc>
        <w:tc>
          <w:tcPr>
            <w:tcW w:w="792" w:type="pct"/>
            <w:gridSpan w:val="2"/>
            <w:tcBorders>
              <w:top w:val="single" w:sz="4" w:space="0" w:color="auto"/>
              <w:left w:val="nil"/>
              <w:bottom w:val="single" w:sz="4" w:space="0" w:color="auto"/>
              <w:right w:val="single" w:sz="4" w:space="0" w:color="auto"/>
            </w:tcBorders>
            <w:shd w:val="clear" w:color="auto" w:fill="auto"/>
            <w:noWrap/>
            <w:vAlign w:val="center"/>
          </w:tcPr>
          <w:p w:rsidR="00351394" w:rsidRDefault="00351394" w:rsidP="003278A3">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bl>
    <w:p w:rsidR="004F642E" w:rsidRDefault="004F642E"/>
    <w:p w:rsidR="00351394" w:rsidRDefault="00351394"/>
    <w:tbl>
      <w:tblPr>
        <w:tblW w:w="5000" w:type="pct"/>
        <w:jc w:val="center"/>
        <w:tblCellMar>
          <w:top w:w="32" w:type="dxa"/>
          <w:left w:w="64" w:type="dxa"/>
          <w:bottom w:w="32" w:type="dxa"/>
          <w:right w:w="64" w:type="dxa"/>
        </w:tblCellMar>
        <w:tblLook w:val="04A0" w:firstRow="1" w:lastRow="0" w:firstColumn="1" w:lastColumn="0" w:noHBand="0" w:noVBand="1"/>
      </w:tblPr>
      <w:tblGrid>
        <w:gridCol w:w="564"/>
        <w:gridCol w:w="885"/>
        <w:gridCol w:w="981"/>
        <w:gridCol w:w="1473"/>
        <w:gridCol w:w="815"/>
        <w:gridCol w:w="810"/>
        <w:gridCol w:w="398"/>
        <w:gridCol w:w="610"/>
        <w:gridCol w:w="1770"/>
      </w:tblGrid>
      <w:tr w:rsidR="00351394" w:rsidTr="003278A3">
        <w:trPr>
          <w:jc w:val="center"/>
        </w:trPr>
        <w:tc>
          <w:tcPr>
            <w:tcW w:w="5000" w:type="pct"/>
            <w:gridSpan w:val="9"/>
            <w:tcBorders>
              <w:top w:val="nil"/>
              <w:left w:val="nil"/>
              <w:bottom w:val="nil"/>
              <w:right w:val="nil"/>
            </w:tcBorders>
            <w:shd w:val="clear" w:color="auto" w:fill="auto"/>
            <w:vAlign w:val="center"/>
          </w:tcPr>
          <w:p w:rsidR="00351394" w:rsidRDefault="00351394" w:rsidP="003278A3">
            <w:pPr>
              <w:keepNext/>
              <w:widowControl/>
              <w:snapToGrid w:val="0"/>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351394" w:rsidTr="003278A3">
        <w:trPr>
          <w:jc w:val="center"/>
        </w:trPr>
        <w:tc>
          <w:tcPr>
            <w:tcW w:w="5000" w:type="pct"/>
            <w:gridSpan w:val="9"/>
            <w:tcBorders>
              <w:top w:val="nil"/>
              <w:left w:val="nil"/>
              <w:bottom w:val="nil"/>
              <w:right w:val="nil"/>
            </w:tcBorders>
            <w:shd w:val="clear" w:color="auto" w:fill="auto"/>
          </w:tcPr>
          <w:p w:rsidR="00351394" w:rsidRDefault="00351394" w:rsidP="003278A3">
            <w:pPr>
              <w:keepNext/>
              <w:widowControl/>
              <w:snapToGrid w:val="0"/>
              <w:jc w:val="center"/>
              <w:rPr>
                <w:rFonts w:ascii="宋体" w:hAnsi="宋体" w:cs="宋体"/>
                <w:color w:val="000000"/>
                <w:kern w:val="0"/>
                <w:sz w:val="22"/>
                <w:szCs w:val="22"/>
              </w:rPr>
            </w:pPr>
            <w:r>
              <w:rPr>
                <w:rFonts w:ascii="宋体" w:hAnsi="宋体" w:cs="宋体" w:hint="eastAsia"/>
                <w:color w:val="000000"/>
                <w:kern w:val="0"/>
                <w:sz w:val="22"/>
                <w:szCs w:val="22"/>
              </w:rPr>
              <w:t>（2024年度）</w:t>
            </w:r>
          </w:p>
        </w:tc>
      </w:tr>
      <w:tr w:rsidR="00351394" w:rsidTr="003278A3">
        <w:trPr>
          <w:jc w:val="center"/>
        </w:trPr>
        <w:tc>
          <w:tcPr>
            <w:tcW w:w="87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4124" w:type="pct"/>
            <w:gridSpan w:val="7"/>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2024年度党建活动经费</w:t>
            </w:r>
          </w:p>
        </w:tc>
      </w:tr>
      <w:tr w:rsidR="00351394" w:rsidTr="003278A3">
        <w:trPr>
          <w:jc w:val="center"/>
        </w:trPr>
        <w:tc>
          <w:tcPr>
            <w:tcW w:w="87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1972"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487"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1664"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教育综合督导评价中心</w:t>
            </w:r>
          </w:p>
        </w:tc>
      </w:tr>
      <w:tr w:rsidR="00351394" w:rsidTr="003278A3">
        <w:trPr>
          <w:trHeight w:val="312"/>
          <w:jc w:val="center"/>
        </w:trPr>
        <w:tc>
          <w:tcPr>
            <w:tcW w:w="875"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5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88" w:type="pct"/>
            <w:vMerge w:val="restart"/>
            <w:tcBorders>
              <w:top w:val="nil"/>
              <w:left w:val="single" w:sz="4" w:space="0" w:color="auto"/>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年初预算</w:t>
            </w:r>
          </w:p>
        </w:tc>
        <w:tc>
          <w:tcPr>
            <w:tcW w:w="4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48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2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1064" w:type="pct"/>
            <w:vMerge w:val="restart"/>
            <w:tcBorders>
              <w:top w:val="nil"/>
              <w:left w:val="single" w:sz="4" w:space="0" w:color="auto"/>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351394" w:rsidTr="003278A3">
        <w:trPr>
          <w:trHeight w:val="312"/>
          <w:jc w:val="center"/>
        </w:trPr>
        <w:tc>
          <w:tcPr>
            <w:tcW w:w="875"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92" w:type="pct"/>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888" w:type="pct"/>
            <w:vMerge/>
            <w:tcBorders>
              <w:top w:val="nil"/>
              <w:left w:val="single" w:sz="4" w:space="0" w:color="auto"/>
              <w:bottom w:val="single" w:sz="4" w:space="0" w:color="auto"/>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492" w:type="pct"/>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487" w:type="pct"/>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231" w:type="pct"/>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368" w:type="pct"/>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1064" w:type="pct"/>
            <w:vMerge/>
            <w:tcBorders>
              <w:top w:val="nil"/>
              <w:left w:val="single" w:sz="4" w:space="0" w:color="auto"/>
              <w:bottom w:val="single" w:sz="4" w:space="0" w:color="auto"/>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r>
      <w:tr w:rsidR="00351394" w:rsidTr="003278A3">
        <w:trPr>
          <w:jc w:val="center"/>
        </w:trPr>
        <w:tc>
          <w:tcPr>
            <w:tcW w:w="875"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92"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888"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0.64</w:t>
            </w:r>
          </w:p>
        </w:tc>
        <w:tc>
          <w:tcPr>
            <w:tcW w:w="492"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0.64</w:t>
            </w:r>
          </w:p>
        </w:tc>
        <w:tc>
          <w:tcPr>
            <w:tcW w:w="487"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0.4142</w:t>
            </w:r>
          </w:p>
        </w:tc>
        <w:tc>
          <w:tcPr>
            <w:tcW w:w="231"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10分</w:t>
            </w:r>
          </w:p>
        </w:tc>
        <w:tc>
          <w:tcPr>
            <w:tcW w:w="368" w:type="pct"/>
            <w:tcBorders>
              <w:top w:val="single" w:sz="4" w:space="0" w:color="auto"/>
              <w:left w:val="nil"/>
              <w:bottom w:val="single" w:sz="4" w:space="0" w:color="auto"/>
              <w:right w:val="single" w:sz="4" w:space="0" w:color="auto"/>
            </w:tcBorders>
            <w:shd w:val="clear" w:color="000000" w:fill="FFFFFF"/>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0.65%</w:t>
            </w:r>
          </w:p>
        </w:tc>
        <w:tc>
          <w:tcPr>
            <w:tcW w:w="1064" w:type="pct"/>
            <w:tcBorders>
              <w:top w:val="nil"/>
              <w:left w:val="nil"/>
              <w:bottom w:val="single" w:sz="4" w:space="0" w:color="auto"/>
              <w:right w:val="single" w:sz="4" w:space="0" w:color="auto"/>
            </w:tcBorders>
            <w:shd w:val="clear" w:color="000000" w:fill="FFFFFF"/>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6.5</w:t>
            </w:r>
          </w:p>
        </w:tc>
      </w:tr>
      <w:tr w:rsidR="00351394" w:rsidTr="003278A3">
        <w:trPr>
          <w:jc w:val="center"/>
        </w:trPr>
        <w:tc>
          <w:tcPr>
            <w:tcW w:w="875"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92"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888"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2"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7"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1"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36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4"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351394" w:rsidTr="003278A3">
        <w:trPr>
          <w:jc w:val="center"/>
        </w:trPr>
        <w:tc>
          <w:tcPr>
            <w:tcW w:w="875"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92"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上年结转资金</w:t>
            </w:r>
          </w:p>
        </w:tc>
        <w:tc>
          <w:tcPr>
            <w:tcW w:w="888"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2"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7"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1"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36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4"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351394" w:rsidTr="003278A3">
        <w:trPr>
          <w:jc w:val="center"/>
        </w:trPr>
        <w:tc>
          <w:tcPr>
            <w:tcW w:w="875"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92"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其他资金</w:t>
            </w:r>
          </w:p>
        </w:tc>
        <w:tc>
          <w:tcPr>
            <w:tcW w:w="888"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2"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7"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1"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36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4"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351394" w:rsidTr="003278A3">
        <w:trPr>
          <w:jc w:val="center"/>
        </w:trPr>
        <w:tc>
          <w:tcPr>
            <w:tcW w:w="875"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92"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888"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2"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7"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1"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36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4"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351394" w:rsidTr="003278A3">
        <w:trPr>
          <w:jc w:val="center"/>
        </w:trPr>
        <w:tc>
          <w:tcPr>
            <w:tcW w:w="341"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2506" w:type="pct"/>
            <w:gridSpan w:val="4"/>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2152" w:type="pct"/>
            <w:gridSpan w:val="4"/>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r>
      <w:tr w:rsidR="00351394" w:rsidTr="003278A3">
        <w:trPr>
          <w:jc w:val="center"/>
        </w:trPr>
        <w:tc>
          <w:tcPr>
            <w:tcW w:w="341"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2506" w:type="pct"/>
            <w:gridSpan w:val="4"/>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严格按照党建经费使用范围，紧密结合党建工作需要，制定年度使用计划并严格执行。</w:t>
            </w:r>
          </w:p>
        </w:tc>
        <w:tc>
          <w:tcPr>
            <w:tcW w:w="2152" w:type="pct"/>
            <w:gridSpan w:val="4"/>
            <w:tcBorders>
              <w:top w:val="single" w:sz="4" w:space="0" w:color="auto"/>
              <w:left w:val="nil"/>
              <w:bottom w:val="single" w:sz="4" w:space="0" w:color="auto"/>
              <w:right w:val="single" w:sz="4" w:space="0" w:color="auto"/>
            </w:tcBorders>
            <w:shd w:val="clear" w:color="000000" w:fill="FFFFFF"/>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年度工作计划完成65%，原因在于之前党建经费有结余，实际可使用金额为8965.6元。</w:t>
            </w:r>
          </w:p>
        </w:tc>
      </w:tr>
      <w:tr w:rsidR="00351394" w:rsidTr="003278A3">
        <w:trPr>
          <w:jc w:val="center"/>
        </w:trPr>
        <w:tc>
          <w:tcPr>
            <w:tcW w:w="341"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34"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left"/>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592"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left"/>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888" w:type="pct"/>
            <w:tcBorders>
              <w:top w:val="single" w:sz="4" w:space="0" w:color="auto"/>
              <w:left w:val="nil"/>
              <w:bottom w:val="single" w:sz="4" w:space="0" w:color="auto"/>
              <w:right w:val="single" w:sz="4" w:space="0" w:color="000000"/>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492"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487"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231" w:type="pct"/>
            <w:tcBorders>
              <w:top w:val="single" w:sz="4" w:space="0" w:color="auto"/>
              <w:left w:val="nil"/>
              <w:bottom w:val="single" w:sz="4" w:space="0" w:color="auto"/>
              <w:right w:val="single" w:sz="4" w:space="0" w:color="000000"/>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368" w:type="pct"/>
            <w:tcBorders>
              <w:top w:val="single" w:sz="4" w:space="0" w:color="auto"/>
              <w:left w:val="nil"/>
              <w:bottom w:val="single" w:sz="4" w:space="0" w:color="auto"/>
              <w:right w:val="single" w:sz="4" w:space="0" w:color="000000"/>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064" w:type="pct"/>
            <w:tcBorders>
              <w:top w:val="single" w:sz="4" w:space="0" w:color="auto"/>
              <w:left w:val="nil"/>
              <w:bottom w:val="single" w:sz="4" w:space="0" w:color="auto"/>
              <w:right w:val="single" w:sz="4" w:space="0" w:color="000000"/>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r>
      <w:tr w:rsidR="00351394" w:rsidTr="003278A3">
        <w:trPr>
          <w:jc w:val="center"/>
        </w:trPr>
        <w:tc>
          <w:tcPr>
            <w:tcW w:w="341"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34"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产出指标（40分）</w:t>
            </w:r>
          </w:p>
        </w:tc>
        <w:tc>
          <w:tcPr>
            <w:tcW w:w="592"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88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left"/>
              <w:rPr>
                <w:rFonts w:ascii="宋体" w:hAnsi="宋体" w:cs="宋体"/>
                <w:color w:val="000000"/>
                <w:kern w:val="0"/>
                <w:sz w:val="18"/>
                <w:szCs w:val="18"/>
              </w:rPr>
            </w:pPr>
            <w:r>
              <w:rPr>
                <w:rFonts w:ascii="宋体" w:hAnsi="宋体" w:cs="宋体" w:hint="eastAsia"/>
                <w:color w:val="000000"/>
                <w:kern w:val="0"/>
                <w:sz w:val="18"/>
                <w:szCs w:val="18"/>
              </w:rPr>
              <w:t>指标1：党员活动次数</w:t>
            </w:r>
          </w:p>
        </w:tc>
        <w:tc>
          <w:tcPr>
            <w:tcW w:w="492"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487"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231"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36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1064"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jc w:val="center"/>
        </w:trPr>
        <w:tc>
          <w:tcPr>
            <w:tcW w:w="341"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34"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92"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质量指标</w:t>
            </w:r>
          </w:p>
        </w:tc>
        <w:tc>
          <w:tcPr>
            <w:tcW w:w="88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left"/>
              <w:rPr>
                <w:rFonts w:ascii="宋体" w:hAnsi="宋体" w:cs="宋体"/>
                <w:color w:val="000000"/>
                <w:kern w:val="0"/>
                <w:sz w:val="18"/>
                <w:szCs w:val="18"/>
              </w:rPr>
            </w:pPr>
            <w:r>
              <w:rPr>
                <w:rFonts w:ascii="宋体" w:hAnsi="宋体" w:cs="宋体" w:hint="eastAsia"/>
                <w:color w:val="000000"/>
                <w:kern w:val="0"/>
                <w:sz w:val="18"/>
                <w:szCs w:val="18"/>
              </w:rPr>
              <w:t>指标1：观看爱国影片</w:t>
            </w:r>
          </w:p>
        </w:tc>
        <w:tc>
          <w:tcPr>
            <w:tcW w:w="492"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487"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231"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36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1064"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jc w:val="center"/>
        </w:trPr>
        <w:tc>
          <w:tcPr>
            <w:tcW w:w="341"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34"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92"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88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left"/>
              <w:rPr>
                <w:rFonts w:ascii="宋体" w:hAnsi="宋体" w:cs="宋体"/>
                <w:color w:val="000000"/>
                <w:kern w:val="0"/>
                <w:sz w:val="18"/>
                <w:szCs w:val="18"/>
              </w:rPr>
            </w:pPr>
            <w:r>
              <w:rPr>
                <w:rFonts w:ascii="宋体" w:hAnsi="宋体" w:cs="宋体" w:hint="eastAsia"/>
                <w:color w:val="000000"/>
                <w:kern w:val="0"/>
                <w:sz w:val="18"/>
                <w:szCs w:val="18"/>
              </w:rPr>
              <w:t>指标2：党建宣传</w:t>
            </w:r>
          </w:p>
        </w:tc>
        <w:tc>
          <w:tcPr>
            <w:tcW w:w="492"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制作宣传展板</w:t>
            </w:r>
          </w:p>
        </w:tc>
        <w:tc>
          <w:tcPr>
            <w:tcW w:w="487"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完成</w:t>
            </w:r>
          </w:p>
        </w:tc>
        <w:tc>
          <w:tcPr>
            <w:tcW w:w="231"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36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1064"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jc w:val="center"/>
        </w:trPr>
        <w:tc>
          <w:tcPr>
            <w:tcW w:w="341"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34"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92"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88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left"/>
              <w:rPr>
                <w:rFonts w:ascii="宋体" w:hAnsi="宋体" w:cs="宋体"/>
                <w:color w:val="000000"/>
                <w:kern w:val="0"/>
                <w:sz w:val="18"/>
                <w:szCs w:val="18"/>
              </w:rPr>
            </w:pPr>
            <w:r>
              <w:rPr>
                <w:rFonts w:ascii="宋体" w:hAnsi="宋体" w:cs="宋体" w:hint="eastAsia"/>
                <w:color w:val="000000"/>
                <w:kern w:val="0"/>
                <w:sz w:val="18"/>
                <w:szCs w:val="18"/>
              </w:rPr>
              <w:t>指标3：订党报党刊</w:t>
            </w:r>
          </w:p>
        </w:tc>
        <w:tc>
          <w:tcPr>
            <w:tcW w:w="492"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按要求完成订阅</w:t>
            </w:r>
          </w:p>
        </w:tc>
        <w:tc>
          <w:tcPr>
            <w:tcW w:w="487"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完成</w:t>
            </w:r>
          </w:p>
        </w:tc>
        <w:tc>
          <w:tcPr>
            <w:tcW w:w="231"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36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1064"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jc w:val="center"/>
        </w:trPr>
        <w:tc>
          <w:tcPr>
            <w:tcW w:w="341"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34"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92"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时效指标</w:t>
            </w:r>
          </w:p>
        </w:tc>
        <w:tc>
          <w:tcPr>
            <w:tcW w:w="88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left"/>
              <w:rPr>
                <w:rFonts w:ascii="宋体" w:hAnsi="宋体" w:cs="宋体"/>
                <w:color w:val="000000"/>
                <w:kern w:val="0"/>
                <w:sz w:val="18"/>
                <w:szCs w:val="18"/>
              </w:rPr>
            </w:pPr>
            <w:r>
              <w:rPr>
                <w:rFonts w:ascii="宋体" w:hAnsi="宋体" w:cs="宋体" w:hint="eastAsia"/>
                <w:color w:val="000000"/>
                <w:kern w:val="0"/>
                <w:sz w:val="18"/>
                <w:szCs w:val="18"/>
              </w:rPr>
              <w:t>指标1：完成时限</w:t>
            </w:r>
          </w:p>
        </w:tc>
        <w:tc>
          <w:tcPr>
            <w:tcW w:w="492"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1年</w:t>
            </w:r>
          </w:p>
        </w:tc>
        <w:tc>
          <w:tcPr>
            <w:tcW w:w="487"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65%</w:t>
            </w:r>
          </w:p>
        </w:tc>
        <w:tc>
          <w:tcPr>
            <w:tcW w:w="231"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36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6.5</w:t>
            </w:r>
          </w:p>
        </w:tc>
        <w:tc>
          <w:tcPr>
            <w:tcW w:w="1064"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党建经费之前有结余，今后合理安排党建经费支出。</w:t>
            </w:r>
          </w:p>
        </w:tc>
      </w:tr>
      <w:tr w:rsidR="00351394" w:rsidTr="003278A3">
        <w:trPr>
          <w:jc w:val="center"/>
        </w:trPr>
        <w:tc>
          <w:tcPr>
            <w:tcW w:w="341"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34"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成本指标（10分）</w:t>
            </w:r>
          </w:p>
        </w:tc>
        <w:tc>
          <w:tcPr>
            <w:tcW w:w="592"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经济成本指标</w:t>
            </w:r>
          </w:p>
        </w:tc>
        <w:tc>
          <w:tcPr>
            <w:tcW w:w="88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left"/>
              <w:rPr>
                <w:rFonts w:ascii="宋体" w:hAnsi="宋体" w:cs="宋体"/>
                <w:color w:val="000000"/>
                <w:kern w:val="0"/>
                <w:sz w:val="18"/>
                <w:szCs w:val="18"/>
              </w:rPr>
            </w:pPr>
            <w:r>
              <w:rPr>
                <w:rFonts w:ascii="宋体" w:hAnsi="宋体" w:cs="宋体" w:hint="eastAsia"/>
                <w:color w:val="000000"/>
                <w:kern w:val="0"/>
                <w:sz w:val="18"/>
                <w:szCs w:val="18"/>
              </w:rPr>
              <w:t>项目总预算</w:t>
            </w:r>
          </w:p>
        </w:tc>
        <w:tc>
          <w:tcPr>
            <w:tcW w:w="492"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0.64万元</w:t>
            </w:r>
          </w:p>
        </w:tc>
        <w:tc>
          <w:tcPr>
            <w:tcW w:w="487"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0.4142万元</w:t>
            </w:r>
          </w:p>
        </w:tc>
        <w:tc>
          <w:tcPr>
            <w:tcW w:w="231"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36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6.5</w:t>
            </w:r>
          </w:p>
        </w:tc>
        <w:tc>
          <w:tcPr>
            <w:tcW w:w="1064"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党建经费之前有结余，今后合理安排党建经费支出。</w:t>
            </w:r>
          </w:p>
        </w:tc>
      </w:tr>
      <w:tr w:rsidR="00351394" w:rsidTr="003278A3">
        <w:trPr>
          <w:jc w:val="center"/>
        </w:trPr>
        <w:tc>
          <w:tcPr>
            <w:tcW w:w="341"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34"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92"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社会成本指标</w:t>
            </w:r>
          </w:p>
        </w:tc>
        <w:tc>
          <w:tcPr>
            <w:tcW w:w="88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492"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7"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1"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6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4"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jc w:val="center"/>
        </w:trPr>
        <w:tc>
          <w:tcPr>
            <w:tcW w:w="341"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34"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92"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生态环境成本指标</w:t>
            </w:r>
          </w:p>
        </w:tc>
        <w:tc>
          <w:tcPr>
            <w:tcW w:w="88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492"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7"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1"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6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4"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jc w:val="center"/>
        </w:trPr>
        <w:tc>
          <w:tcPr>
            <w:tcW w:w="341"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34"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效益指标（30分）</w:t>
            </w:r>
          </w:p>
        </w:tc>
        <w:tc>
          <w:tcPr>
            <w:tcW w:w="592"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经济效益指标</w:t>
            </w:r>
          </w:p>
        </w:tc>
        <w:tc>
          <w:tcPr>
            <w:tcW w:w="88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492"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7"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1"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6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4"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jc w:val="center"/>
        </w:trPr>
        <w:tc>
          <w:tcPr>
            <w:tcW w:w="341"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34"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92"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社会效益指标</w:t>
            </w:r>
          </w:p>
        </w:tc>
        <w:tc>
          <w:tcPr>
            <w:tcW w:w="88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left"/>
              <w:rPr>
                <w:rFonts w:ascii="宋体" w:hAnsi="宋体" w:cs="宋体"/>
                <w:color w:val="000000"/>
                <w:kern w:val="0"/>
                <w:sz w:val="18"/>
                <w:szCs w:val="18"/>
              </w:rPr>
            </w:pPr>
            <w:r>
              <w:rPr>
                <w:rFonts w:ascii="宋体" w:hAnsi="宋体" w:cs="宋体" w:hint="eastAsia"/>
                <w:color w:val="000000"/>
                <w:kern w:val="0"/>
                <w:sz w:val="18"/>
                <w:szCs w:val="18"/>
              </w:rPr>
              <w:t>指标1：提高党员思想政治素养和理论水平。</w:t>
            </w:r>
          </w:p>
        </w:tc>
        <w:tc>
          <w:tcPr>
            <w:tcW w:w="492"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长效</w:t>
            </w:r>
          </w:p>
        </w:tc>
        <w:tc>
          <w:tcPr>
            <w:tcW w:w="487"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完成</w:t>
            </w:r>
          </w:p>
        </w:tc>
        <w:tc>
          <w:tcPr>
            <w:tcW w:w="231"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15</w:t>
            </w:r>
          </w:p>
        </w:tc>
        <w:tc>
          <w:tcPr>
            <w:tcW w:w="36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15</w:t>
            </w:r>
          </w:p>
        </w:tc>
        <w:tc>
          <w:tcPr>
            <w:tcW w:w="1064"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jc w:val="center"/>
        </w:trPr>
        <w:tc>
          <w:tcPr>
            <w:tcW w:w="341"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34"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92"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生态效益指标</w:t>
            </w:r>
          </w:p>
        </w:tc>
        <w:tc>
          <w:tcPr>
            <w:tcW w:w="88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492"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7"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1"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6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064"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jc w:val="center"/>
        </w:trPr>
        <w:tc>
          <w:tcPr>
            <w:tcW w:w="341"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34"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92"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可持续影响指标</w:t>
            </w:r>
          </w:p>
        </w:tc>
        <w:tc>
          <w:tcPr>
            <w:tcW w:w="88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left"/>
              <w:rPr>
                <w:rFonts w:ascii="宋体" w:hAnsi="宋体" w:cs="宋体"/>
                <w:color w:val="000000"/>
                <w:kern w:val="0"/>
                <w:sz w:val="18"/>
                <w:szCs w:val="18"/>
              </w:rPr>
            </w:pPr>
            <w:r>
              <w:rPr>
                <w:rFonts w:ascii="宋体" w:hAnsi="宋体" w:cs="宋体" w:hint="eastAsia"/>
                <w:color w:val="000000"/>
                <w:kern w:val="0"/>
                <w:sz w:val="18"/>
                <w:szCs w:val="18"/>
              </w:rPr>
              <w:t>指标1：充分发挥党员先锋模范作用。</w:t>
            </w:r>
          </w:p>
        </w:tc>
        <w:tc>
          <w:tcPr>
            <w:tcW w:w="492"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提高党建引领作用</w:t>
            </w:r>
          </w:p>
        </w:tc>
        <w:tc>
          <w:tcPr>
            <w:tcW w:w="487"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完成</w:t>
            </w:r>
          </w:p>
        </w:tc>
        <w:tc>
          <w:tcPr>
            <w:tcW w:w="231"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15</w:t>
            </w:r>
          </w:p>
        </w:tc>
        <w:tc>
          <w:tcPr>
            <w:tcW w:w="36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15</w:t>
            </w:r>
          </w:p>
        </w:tc>
        <w:tc>
          <w:tcPr>
            <w:tcW w:w="1064"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jc w:val="center"/>
        </w:trPr>
        <w:tc>
          <w:tcPr>
            <w:tcW w:w="341" w:type="pct"/>
            <w:vMerge/>
            <w:tcBorders>
              <w:top w:val="nil"/>
              <w:left w:val="single" w:sz="4" w:space="0" w:color="auto"/>
              <w:bottom w:val="single" w:sz="4" w:space="0" w:color="000000"/>
              <w:right w:val="single" w:sz="4" w:space="0" w:color="auto"/>
            </w:tcBorders>
            <w:vAlign w:val="center"/>
          </w:tcPr>
          <w:p w:rsidR="00351394" w:rsidRDefault="00351394" w:rsidP="003278A3">
            <w:pPr>
              <w:keepNext/>
              <w:widowControl/>
              <w:snapToGrid w:val="0"/>
              <w:jc w:val="left"/>
              <w:rPr>
                <w:rFonts w:ascii="宋体" w:hAnsi="宋体" w:cs="宋体"/>
                <w:color w:val="000000"/>
                <w:kern w:val="0"/>
                <w:sz w:val="18"/>
                <w:szCs w:val="18"/>
              </w:rPr>
            </w:pPr>
          </w:p>
        </w:tc>
        <w:tc>
          <w:tcPr>
            <w:tcW w:w="534"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满意度指标（10分）</w:t>
            </w:r>
          </w:p>
        </w:tc>
        <w:tc>
          <w:tcPr>
            <w:tcW w:w="592"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服务对象满意度指标</w:t>
            </w:r>
          </w:p>
        </w:tc>
        <w:tc>
          <w:tcPr>
            <w:tcW w:w="88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left"/>
              <w:rPr>
                <w:rFonts w:ascii="宋体" w:hAnsi="宋体" w:cs="宋体"/>
                <w:color w:val="000000"/>
                <w:kern w:val="0"/>
                <w:sz w:val="18"/>
                <w:szCs w:val="18"/>
              </w:rPr>
            </w:pPr>
            <w:r>
              <w:rPr>
                <w:rFonts w:ascii="宋体" w:hAnsi="宋体" w:cs="宋体" w:hint="eastAsia"/>
                <w:color w:val="000000"/>
                <w:kern w:val="0"/>
                <w:sz w:val="18"/>
                <w:szCs w:val="18"/>
              </w:rPr>
              <w:t>指标1：全体党员</w:t>
            </w:r>
          </w:p>
        </w:tc>
        <w:tc>
          <w:tcPr>
            <w:tcW w:w="492"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满意度≥95%</w:t>
            </w:r>
          </w:p>
        </w:tc>
        <w:tc>
          <w:tcPr>
            <w:tcW w:w="487" w:type="pct"/>
            <w:tcBorders>
              <w:top w:val="nil"/>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完成</w:t>
            </w:r>
          </w:p>
        </w:tc>
        <w:tc>
          <w:tcPr>
            <w:tcW w:w="231"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368"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1064" w:type="pct"/>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jc w:val="center"/>
        </w:trPr>
        <w:tc>
          <w:tcPr>
            <w:tcW w:w="3335"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keepNext/>
              <w:widowControl/>
              <w:snapToGrid w:val="0"/>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231" w:type="pct"/>
            <w:tcBorders>
              <w:top w:val="single" w:sz="4" w:space="0" w:color="auto"/>
              <w:left w:val="nil"/>
              <w:bottom w:val="single" w:sz="4" w:space="0" w:color="auto"/>
              <w:right w:val="single" w:sz="4" w:space="0" w:color="auto"/>
            </w:tcBorders>
            <w:shd w:val="clear" w:color="auto" w:fill="auto"/>
            <w:vAlign w:val="center"/>
          </w:tcPr>
          <w:p w:rsidR="00351394" w:rsidRDefault="00723C29" w:rsidP="003278A3">
            <w:pPr>
              <w:keepNext/>
              <w:widowControl/>
              <w:snapToGrid w:val="0"/>
              <w:jc w:val="center"/>
              <w:rPr>
                <w:rFonts w:ascii="宋体" w:hAnsi="宋体" w:cs="宋体"/>
                <w:color w:val="000000"/>
                <w:kern w:val="0"/>
                <w:sz w:val="18"/>
                <w:szCs w:val="18"/>
              </w:rPr>
            </w:pPr>
            <w:r>
              <w:rPr>
                <w:rFonts w:ascii="宋体" w:hAnsi="宋体" w:cs="宋体"/>
                <w:color w:val="000000"/>
                <w:kern w:val="0"/>
                <w:sz w:val="18"/>
                <w:szCs w:val="18"/>
              </w:rPr>
              <w:t>100</w:t>
            </w:r>
          </w:p>
        </w:tc>
        <w:tc>
          <w:tcPr>
            <w:tcW w:w="368" w:type="pct"/>
            <w:tcBorders>
              <w:top w:val="single" w:sz="4" w:space="0" w:color="auto"/>
              <w:left w:val="nil"/>
              <w:bottom w:val="single" w:sz="4" w:space="0" w:color="auto"/>
              <w:right w:val="single" w:sz="4" w:space="0" w:color="auto"/>
            </w:tcBorders>
            <w:shd w:val="clear" w:color="auto" w:fill="auto"/>
            <w:vAlign w:val="center"/>
          </w:tcPr>
          <w:p w:rsidR="00351394" w:rsidRDefault="00723C29" w:rsidP="003278A3">
            <w:pPr>
              <w:keepNext/>
              <w:widowControl/>
              <w:snapToGrid w:val="0"/>
              <w:jc w:val="center"/>
              <w:rPr>
                <w:rFonts w:ascii="宋体" w:hAnsi="宋体" w:cs="宋体"/>
                <w:color w:val="000000"/>
                <w:kern w:val="0"/>
                <w:sz w:val="18"/>
                <w:szCs w:val="18"/>
              </w:rPr>
            </w:pPr>
            <w:r>
              <w:rPr>
                <w:rFonts w:ascii="宋体" w:hAnsi="宋体" w:cs="宋体"/>
                <w:color w:val="000000"/>
                <w:kern w:val="0"/>
                <w:sz w:val="18"/>
                <w:szCs w:val="18"/>
              </w:rPr>
              <w:t>89.5</w:t>
            </w:r>
          </w:p>
        </w:tc>
        <w:tc>
          <w:tcPr>
            <w:tcW w:w="1064" w:type="pct"/>
            <w:tcBorders>
              <w:top w:val="single" w:sz="4" w:space="0" w:color="auto"/>
              <w:left w:val="nil"/>
              <w:bottom w:val="single" w:sz="4" w:space="0" w:color="auto"/>
              <w:right w:val="single" w:sz="4" w:space="0" w:color="auto"/>
            </w:tcBorders>
            <w:shd w:val="clear" w:color="auto" w:fill="auto"/>
            <w:noWrap/>
            <w:vAlign w:val="center"/>
          </w:tcPr>
          <w:p w:rsidR="00351394" w:rsidRDefault="00351394" w:rsidP="003278A3">
            <w:pPr>
              <w:keepNext/>
              <w:widowControl/>
              <w:snapToGrid w:val="0"/>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bl>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tbl>
      <w:tblPr>
        <w:tblW w:w="5000" w:type="pct"/>
        <w:tblLook w:val="04A0" w:firstRow="1" w:lastRow="0" w:firstColumn="1" w:lastColumn="0" w:noHBand="0" w:noVBand="1"/>
      </w:tblPr>
      <w:tblGrid>
        <w:gridCol w:w="396"/>
        <w:gridCol w:w="636"/>
        <w:gridCol w:w="925"/>
        <w:gridCol w:w="629"/>
        <w:gridCol w:w="639"/>
        <w:gridCol w:w="162"/>
        <w:gridCol w:w="943"/>
        <w:gridCol w:w="870"/>
        <w:gridCol w:w="462"/>
        <w:gridCol w:w="408"/>
        <w:gridCol w:w="496"/>
        <w:gridCol w:w="411"/>
        <w:gridCol w:w="663"/>
        <w:gridCol w:w="666"/>
      </w:tblGrid>
      <w:tr w:rsidR="00351394" w:rsidTr="003278A3">
        <w:trPr>
          <w:trHeight w:val="405"/>
        </w:trPr>
        <w:tc>
          <w:tcPr>
            <w:tcW w:w="5000" w:type="pct"/>
            <w:gridSpan w:val="14"/>
            <w:tcBorders>
              <w:top w:val="nil"/>
              <w:left w:val="nil"/>
              <w:bottom w:val="nil"/>
              <w:right w:val="nil"/>
            </w:tcBorders>
            <w:shd w:val="clear" w:color="auto" w:fill="auto"/>
            <w:vAlign w:val="center"/>
          </w:tcPr>
          <w:p w:rsidR="00351394" w:rsidRDefault="00351394" w:rsidP="00351394">
            <w:pPr>
              <w:widowControl/>
              <w:rPr>
                <w:rFonts w:ascii="宋体" w:hAnsi="宋体" w:cs="宋体"/>
                <w:b/>
                <w:bCs/>
                <w:color w:val="000000"/>
                <w:kern w:val="0"/>
                <w:sz w:val="32"/>
                <w:szCs w:val="32"/>
              </w:rPr>
            </w:pPr>
          </w:p>
          <w:p w:rsidR="00351394" w:rsidRDefault="00351394" w:rsidP="003278A3">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351394" w:rsidTr="003278A3">
        <w:trPr>
          <w:trHeight w:val="315"/>
        </w:trPr>
        <w:tc>
          <w:tcPr>
            <w:tcW w:w="5000" w:type="pct"/>
            <w:gridSpan w:val="14"/>
            <w:tcBorders>
              <w:top w:val="nil"/>
              <w:left w:val="nil"/>
              <w:bottom w:val="nil"/>
              <w:right w:val="nil"/>
            </w:tcBorders>
            <w:shd w:val="clear" w:color="auto" w:fill="auto"/>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（2024年度）</w:t>
            </w:r>
          </w:p>
        </w:tc>
      </w:tr>
      <w:tr w:rsidR="00351394" w:rsidTr="003278A3">
        <w:trPr>
          <w:trHeight w:val="315"/>
        </w:trPr>
        <w:tc>
          <w:tcPr>
            <w:tcW w:w="6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4383" w:type="pct"/>
            <w:gridSpan w:val="1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2024年教育督导专项经费</w:t>
            </w:r>
          </w:p>
        </w:tc>
      </w:tr>
      <w:tr w:rsidR="00351394" w:rsidTr="003278A3">
        <w:trPr>
          <w:trHeight w:val="315"/>
        </w:trPr>
        <w:tc>
          <w:tcPr>
            <w:tcW w:w="6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1991" w:type="pct"/>
            <w:gridSpan w:val="5"/>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教育委员会</w:t>
            </w: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1587" w:type="pct"/>
            <w:gridSpan w:val="5"/>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北京市</w:t>
            </w:r>
            <w:proofErr w:type="gramStart"/>
            <w:r>
              <w:rPr>
                <w:rFonts w:ascii="宋体" w:hAnsi="宋体" w:cs="宋体" w:hint="eastAsia"/>
                <w:color w:val="000000"/>
                <w:kern w:val="0"/>
                <w:sz w:val="18"/>
                <w:szCs w:val="18"/>
              </w:rPr>
              <w:t>大兴区</w:t>
            </w:r>
            <w:proofErr w:type="gramEnd"/>
            <w:r>
              <w:rPr>
                <w:rFonts w:ascii="宋体" w:hAnsi="宋体" w:cs="宋体" w:hint="eastAsia"/>
                <w:color w:val="000000"/>
                <w:kern w:val="0"/>
                <w:sz w:val="18"/>
                <w:szCs w:val="18"/>
              </w:rPr>
              <w:t>教育综合督导评价中心</w:t>
            </w:r>
          </w:p>
        </w:tc>
      </w:tr>
      <w:tr w:rsidR="00351394" w:rsidTr="003278A3">
        <w:trPr>
          <w:trHeight w:val="315"/>
        </w:trPr>
        <w:tc>
          <w:tcPr>
            <w:tcW w:w="616"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9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w:t>
            </w:r>
          </w:p>
        </w:tc>
        <w:tc>
          <w:tcPr>
            <w:tcW w:w="6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8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64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393" w:type="pct"/>
            <w:vMerge w:val="restart"/>
            <w:tcBorders>
              <w:top w:val="nil"/>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351394" w:rsidTr="003278A3">
        <w:trPr>
          <w:trHeight w:val="315"/>
        </w:trPr>
        <w:tc>
          <w:tcPr>
            <w:tcW w:w="616"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left"/>
              <w:rPr>
                <w:rFonts w:ascii="宋体" w:hAnsi="宋体" w:cs="宋体"/>
                <w:color w:val="000000"/>
                <w:kern w:val="0"/>
                <w:sz w:val="18"/>
                <w:szCs w:val="18"/>
              </w:rPr>
            </w:pPr>
          </w:p>
        </w:tc>
        <w:tc>
          <w:tcPr>
            <w:tcW w:w="938" w:type="pct"/>
            <w:gridSpan w:val="2"/>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6" w:type="pct"/>
            <w:vMerge/>
            <w:tcBorders>
              <w:top w:val="nil"/>
              <w:left w:val="single" w:sz="4" w:space="0" w:color="auto"/>
              <w:bottom w:val="single" w:sz="4" w:space="0" w:color="auto"/>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667" w:type="pct"/>
            <w:gridSpan w:val="2"/>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804" w:type="pct"/>
            <w:gridSpan w:val="2"/>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648" w:type="pct"/>
            <w:gridSpan w:val="2"/>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93" w:type="pct"/>
            <w:vMerge/>
            <w:tcBorders>
              <w:top w:val="nil"/>
              <w:left w:val="single" w:sz="4" w:space="0" w:color="auto"/>
              <w:bottom w:val="single" w:sz="4" w:space="0" w:color="auto"/>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r>
      <w:tr w:rsidR="00351394" w:rsidTr="003278A3">
        <w:trPr>
          <w:trHeight w:val="315"/>
        </w:trPr>
        <w:tc>
          <w:tcPr>
            <w:tcW w:w="616"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left"/>
              <w:rPr>
                <w:rFonts w:ascii="宋体" w:hAnsi="宋体" w:cs="宋体"/>
                <w:color w:val="000000"/>
                <w:kern w:val="0"/>
                <w:sz w:val="18"/>
                <w:szCs w:val="18"/>
              </w:rPr>
            </w:pPr>
          </w:p>
        </w:tc>
        <w:tc>
          <w:tcPr>
            <w:tcW w:w="93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386"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27</w:t>
            </w:r>
          </w:p>
        </w:tc>
        <w:tc>
          <w:tcPr>
            <w:tcW w:w="66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27</w:t>
            </w: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15.5818</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10分</w:t>
            </w:r>
          </w:p>
        </w:tc>
        <w:tc>
          <w:tcPr>
            <w:tcW w:w="648" w:type="pct"/>
            <w:gridSpan w:val="2"/>
            <w:tcBorders>
              <w:top w:val="single" w:sz="4" w:space="0" w:color="auto"/>
              <w:left w:val="nil"/>
              <w:bottom w:val="single" w:sz="4" w:space="0" w:color="auto"/>
              <w:right w:val="single" w:sz="4" w:space="0" w:color="auto"/>
            </w:tcBorders>
            <w:shd w:val="clear" w:color="000000" w:fill="FFFFFF"/>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57.71%</w:t>
            </w:r>
          </w:p>
        </w:tc>
        <w:tc>
          <w:tcPr>
            <w:tcW w:w="393" w:type="pct"/>
            <w:tcBorders>
              <w:top w:val="nil"/>
              <w:left w:val="nil"/>
              <w:bottom w:val="single" w:sz="4" w:space="0" w:color="auto"/>
              <w:right w:val="single" w:sz="4" w:space="0" w:color="auto"/>
            </w:tcBorders>
            <w:shd w:val="clear" w:color="000000" w:fill="FFFFFF"/>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5.771</w:t>
            </w:r>
          </w:p>
        </w:tc>
      </w:tr>
      <w:tr w:rsidR="00351394" w:rsidTr="003278A3">
        <w:trPr>
          <w:trHeight w:val="315"/>
        </w:trPr>
        <w:tc>
          <w:tcPr>
            <w:tcW w:w="616"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left"/>
              <w:rPr>
                <w:rFonts w:ascii="宋体" w:hAnsi="宋体" w:cs="宋体"/>
                <w:color w:val="000000"/>
                <w:kern w:val="0"/>
                <w:sz w:val="18"/>
                <w:szCs w:val="18"/>
              </w:rPr>
            </w:pPr>
          </w:p>
        </w:tc>
        <w:tc>
          <w:tcPr>
            <w:tcW w:w="93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386"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6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4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351394" w:rsidTr="003278A3">
        <w:trPr>
          <w:trHeight w:val="315"/>
        </w:trPr>
        <w:tc>
          <w:tcPr>
            <w:tcW w:w="616"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left"/>
              <w:rPr>
                <w:rFonts w:ascii="宋体" w:hAnsi="宋体" w:cs="宋体"/>
                <w:color w:val="000000"/>
                <w:kern w:val="0"/>
                <w:sz w:val="18"/>
                <w:szCs w:val="18"/>
              </w:rPr>
            </w:pPr>
          </w:p>
        </w:tc>
        <w:tc>
          <w:tcPr>
            <w:tcW w:w="93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上年结转资金</w:t>
            </w:r>
          </w:p>
        </w:tc>
        <w:tc>
          <w:tcPr>
            <w:tcW w:w="386"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6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4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351394" w:rsidTr="003278A3">
        <w:trPr>
          <w:trHeight w:val="315"/>
        </w:trPr>
        <w:tc>
          <w:tcPr>
            <w:tcW w:w="616"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left"/>
              <w:rPr>
                <w:rFonts w:ascii="宋体" w:hAnsi="宋体" w:cs="宋体"/>
                <w:color w:val="000000"/>
                <w:kern w:val="0"/>
                <w:sz w:val="18"/>
                <w:szCs w:val="18"/>
              </w:rPr>
            </w:pPr>
          </w:p>
        </w:tc>
        <w:tc>
          <w:tcPr>
            <w:tcW w:w="93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其他资金</w:t>
            </w:r>
          </w:p>
        </w:tc>
        <w:tc>
          <w:tcPr>
            <w:tcW w:w="386"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6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4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351394" w:rsidTr="003278A3">
        <w:trPr>
          <w:trHeight w:val="315"/>
        </w:trPr>
        <w:tc>
          <w:tcPr>
            <w:tcW w:w="616"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left"/>
              <w:rPr>
                <w:rFonts w:ascii="宋体" w:hAnsi="宋体" w:cs="宋体"/>
                <w:color w:val="000000"/>
                <w:kern w:val="0"/>
                <w:sz w:val="18"/>
                <w:szCs w:val="18"/>
              </w:rPr>
            </w:pPr>
          </w:p>
        </w:tc>
        <w:tc>
          <w:tcPr>
            <w:tcW w:w="93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中央直达资金</w:t>
            </w:r>
            <w:r>
              <w:rPr>
                <w:rFonts w:ascii="宋体" w:hAnsi="宋体" w:cs="宋体" w:hint="eastAsia"/>
                <w:color w:val="000000"/>
                <w:kern w:val="0"/>
                <w:sz w:val="13"/>
                <w:szCs w:val="13"/>
              </w:rPr>
              <w:t xml:space="preserve"> </w:t>
            </w:r>
          </w:p>
        </w:tc>
        <w:tc>
          <w:tcPr>
            <w:tcW w:w="386"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6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4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351394" w:rsidTr="003278A3">
        <w:trPr>
          <w:trHeight w:val="510"/>
        </w:trPr>
        <w:tc>
          <w:tcPr>
            <w:tcW w:w="232"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2376" w:type="pct"/>
            <w:gridSpan w:val="6"/>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2391" w:type="pct"/>
            <w:gridSpan w:val="7"/>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r>
      <w:tr w:rsidR="00351394" w:rsidTr="003278A3">
        <w:trPr>
          <w:trHeight w:val="918"/>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2376" w:type="pct"/>
            <w:gridSpan w:val="6"/>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协助教委督导室促进我区教学教育水平提升，保障工作质量。通过综合督导、专项督导、对全区中小学幼儿</w:t>
            </w:r>
            <w:proofErr w:type="gramStart"/>
            <w:r>
              <w:rPr>
                <w:rFonts w:ascii="宋体" w:hAnsi="宋体" w:cs="宋体" w:hint="eastAsia"/>
                <w:color w:val="000000"/>
                <w:kern w:val="0"/>
                <w:sz w:val="18"/>
                <w:szCs w:val="18"/>
              </w:rPr>
              <w:t>园满</w:t>
            </w:r>
            <w:proofErr w:type="gramEnd"/>
            <w:r>
              <w:rPr>
                <w:rFonts w:ascii="宋体" w:hAnsi="宋体" w:cs="宋体" w:hint="eastAsia"/>
                <w:color w:val="000000"/>
                <w:kern w:val="0"/>
                <w:sz w:val="18"/>
                <w:szCs w:val="18"/>
              </w:rPr>
              <w:t>意度调查等分析学校（幼儿园）工作的成绩和问题，为改进学校（幼儿园）工作提供客观依据，促进学校（幼儿园）发展和办学（园）品质提升，办好人民满意的教育。</w:t>
            </w:r>
          </w:p>
        </w:tc>
        <w:tc>
          <w:tcPr>
            <w:tcW w:w="2391" w:type="pct"/>
            <w:gridSpan w:val="7"/>
            <w:tcBorders>
              <w:top w:val="single" w:sz="4" w:space="0" w:color="auto"/>
              <w:left w:val="nil"/>
              <w:bottom w:val="single" w:sz="4" w:space="0" w:color="auto"/>
              <w:right w:val="single" w:sz="4" w:space="0" w:color="auto"/>
            </w:tcBorders>
            <w:shd w:val="clear" w:color="000000" w:fill="FFFFFF"/>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年度工作计划基本完成，由于工作内容变化有个别项目没有进行。</w:t>
            </w:r>
          </w:p>
        </w:tc>
      </w:tr>
      <w:tr w:rsidR="00351394" w:rsidTr="003278A3">
        <w:trPr>
          <w:trHeight w:val="763"/>
        </w:trPr>
        <w:tc>
          <w:tcPr>
            <w:tcW w:w="232"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84"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558"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865" w:type="pct"/>
            <w:gridSpan w:val="3"/>
            <w:tcBorders>
              <w:top w:val="single" w:sz="4" w:space="0" w:color="auto"/>
              <w:left w:val="nil"/>
              <w:bottom w:val="single" w:sz="4" w:space="0" w:color="auto"/>
              <w:right w:val="single" w:sz="4" w:space="0" w:color="000000"/>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5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525"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525" w:type="pct"/>
            <w:gridSpan w:val="2"/>
            <w:tcBorders>
              <w:top w:val="single" w:sz="4" w:space="0" w:color="auto"/>
              <w:left w:val="nil"/>
              <w:bottom w:val="single" w:sz="4" w:space="0" w:color="auto"/>
              <w:right w:val="single" w:sz="4" w:space="0" w:color="000000"/>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547" w:type="pct"/>
            <w:gridSpan w:val="2"/>
            <w:tcBorders>
              <w:top w:val="single" w:sz="4" w:space="0" w:color="auto"/>
              <w:left w:val="nil"/>
              <w:bottom w:val="single" w:sz="4" w:space="0" w:color="auto"/>
              <w:right w:val="single" w:sz="4" w:space="0" w:color="000000"/>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793" w:type="pct"/>
            <w:gridSpan w:val="2"/>
            <w:tcBorders>
              <w:top w:val="single" w:sz="4" w:space="0" w:color="auto"/>
              <w:left w:val="nil"/>
              <w:bottom w:val="single" w:sz="4" w:space="0" w:color="auto"/>
              <w:right w:val="single" w:sz="4" w:space="0" w:color="000000"/>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r>
      <w:tr w:rsidR="00351394" w:rsidTr="003278A3">
        <w:trPr>
          <w:trHeight w:val="31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4"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产出指标（40分）</w:t>
            </w:r>
          </w:p>
        </w:tc>
        <w:tc>
          <w:tcPr>
            <w:tcW w:w="558"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数量指标</w:t>
            </w:r>
          </w:p>
        </w:tc>
        <w:tc>
          <w:tcPr>
            <w:tcW w:w="865"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综合督导评价相关工作</w:t>
            </w:r>
          </w:p>
        </w:tc>
        <w:tc>
          <w:tcPr>
            <w:tcW w:w="5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1年</w:t>
            </w:r>
          </w:p>
        </w:tc>
        <w:tc>
          <w:tcPr>
            <w:tcW w:w="525"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完成</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15</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15</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trHeight w:val="31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558"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质量指标</w:t>
            </w:r>
          </w:p>
        </w:tc>
        <w:tc>
          <w:tcPr>
            <w:tcW w:w="865"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综合督导评价</w:t>
            </w:r>
          </w:p>
        </w:tc>
        <w:tc>
          <w:tcPr>
            <w:tcW w:w="5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确保督学工作、数据分析的正确性</w:t>
            </w:r>
          </w:p>
        </w:tc>
        <w:tc>
          <w:tcPr>
            <w:tcW w:w="525"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完成</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trHeight w:val="31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558"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865"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挂牌督导工作</w:t>
            </w:r>
          </w:p>
        </w:tc>
        <w:tc>
          <w:tcPr>
            <w:tcW w:w="5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质量上保证挂牌符合公示的标准</w:t>
            </w:r>
          </w:p>
        </w:tc>
        <w:tc>
          <w:tcPr>
            <w:tcW w:w="525"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完成</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trHeight w:val="31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558"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865"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教育督导专辑等印刷</w:t>
            </w:r>
          </w:p>
        </w:tc>
        <w:tc>
          <w:tcPr>
            <w:tcW w:w="5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按标准完成教育督导专辑等材料印刷</w:t>
            </w:r>
          </w:p>
        </w:tc>
        <w:tc>
          <w:tcPr>
            <w:tcW w:w="525"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完成</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trHeight w:val="31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558"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时效指标</w:t>
            </w:r>
          </w:p>
        </w:tc>
        <w:tc>
          <w:tcPr>
            <w:tcW w:w="865"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综合督导评价相关工作</w:t>
            </w:r>
          </w:p>
        </w:tc>
        <w:tc>
          <w:tcPr>
            <w:tcW w:w="5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1年</w:t>
            </w:r>
          </w:p>
        </w:tc>
        <w:tc>
          <w:tcPr>
            <w:tcW w:w="525"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完成</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trHeight w:val="31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4"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成本指标（10分）</w:t>
            </w:r>
          </w:p>
        </w:tc>
        <w:tc>
          <w:tcPr>
            <w:tcW w:w="558"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经济成本指标</w:t>
            </w:r>
          </w:p>
        </w:tc>
        <w:tc>
          <w:tcPr>
            <w:tcW w:w="865"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项目总预算</w:t>
            </w:r>
          </w:p>
        </w:tc>
        <w:tc>
          <w:tcPr>
            <w:tcW w:w="5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27万元</w:t>
            </w:r>
          </w:p>
        </w:tc>
        <w:tc>
          <w:tcPr>
            <w:tcW w:w="525"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trHeight w:val="31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558"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社会成本指标</w:t>
            </w:r>
          </w:p>
        </w:tc>
        <w:tc>
          <w:tcPr>
            <w:tcW w:w="865"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5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25"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trHeight w:val="31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558"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生态环境成本指标</w:t>
            </w:r>
          </w:p>
        </w:tc>
        <w:tc>
          <w:tcPr>
            <w:tcW w:w="865"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5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25"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trHeight w:val="31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4"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效益指标（30分）</w:t>
            </w:r>
          </w:p>
        </w:tc>
        <w:tc>
          <w:tcPr>
            <w:tcW w:w="558"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经济效益指标</w:t>
            </w:r>
          </w:p>
        </w:tc>
        <w:tc>
          <w:tcPr>
            <w:tcW w:w="865"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5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25"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trHeight w:val="31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558"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社会效益指标</w:t>
            </w:r>
          </w:p>
        </w:tc>
        <w:tc>
          <w:tcPr>
            <w:tcW w:w="865"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结合区域发展实际，强化教育督导工作，积极履行督政、督学、评估监测三大职能。推进我区教育事业健康发展。</w:t>
            </w:r>
          </w:p>
        </w:tc>
        <w:tc>
          <w:tcPr>
            <w:tcW w:w="5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长效</w:t>
            </w:r>
          </w:p>
        </w:tc>
        <w:tc>
          <w:tcPr>
            <w:tcW w:w="525"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完成</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15</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15</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trHeight w:val="31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558"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生态效益指标</w:t>
            </w:r>
          </w:p>
        </w:tc>
        <w:tc>
          <w:tcPr>
            <w:tcW w:w="865"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5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25"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trHeight w:val="420"/>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558"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可持续影响指标</w:t>
            </w:r>
          </w:p>
        </w:tc>
        <w:tc>
          <w:tcPr>
            <w:tcW w:w="865"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强化内部机制建设，积极履行督学、督政、评估监测职能。</w:t>
            </w:r>
          </w:p>
        </w:tc>
        <w:tc>
          <w:tcPr>
            <w:tcW w:w="5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督导评价的作用有所提高。</w:t>
            </w:r>
          </w:p>
        </w:tc>
        <w:tc>
          <w:tcPr>
            <w:tcW w:w="525"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完成</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15</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15</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trHeight w:val="31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558"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865"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5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25"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trHeight w:val="31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558"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865"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5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25"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bookmarkStart w:id="0" w:name="_GoBack"/>
        <w:bookmarkEnd w:id="0"/>
      </w:tr>
      <w:tr w:rsidR="00351394" w:rsidTr="003278A3">
        <w:trPr>
          <w:trHeight w:val="31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4"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满意度指标（10分）</w:t>
            </w:r>
          </w:p>
        </w:tc>
        <w:tc>
          <w:tcPr>
            <w:tcW w:w="558"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服务对象满意度指标</w:t>
            </w:r>
          </w:p>
        </w:tc>
        <w:tc>
          <w:tcPr>
            <w:tcW w:w="865"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中小学及幼儿园师生</w:t>
            </w:r>
          </w:p>
        </w:tc>
        <w:tc>
          <w:tcPr>
            <w:tcW w:w="5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满意度≥93%</w:t>
            </w:r>
          </w:p>
        </w:tc>
        <w:tc>
          <w:tcPr>
            <w:tcW w:w="525"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完成</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trHeight w:val="31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558"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865"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5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25"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trHeight w:val="315"/>
        </w:trPr>
        <w:tc>
          <w:tcPr>
            <w:tcW w:w="232"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38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558"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18"/>
                <w:szCs w:val="18"/>
              </w:rPr>
            </w:pPr>
          </w:p>
        </w:tc>
        <w:tc>
          <w:tcPr>
            <w:tcW w:w="865"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5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25"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51394" w:rsidTr="003278A3">
        <w:trPr>
          <w:trHeight w:val="315"/>
        </w:trPr>
        <w:tc>
          <w:tcPr>
            <w:tcW w:w="313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723C29" w:rsidP="003278A3">
            <w:pPr>
              <w:widowControl/>
              <w:jc w:val="center"/>
              <w:rPr>
                <w:rFonts w:ascii="宋体" w:hAnsi="宋体" w:cs="宋体"/>
                <w:color w:val="000000"/>
                <w:kern w:val="0"/>
                <w:sz w:val="18"/>
                <w:szCs w:val="18"/>
              </w:rPr>
            </w:pPr>
            <w:r>
              <w:rPr>
                <w:rFonts w:ascii="宋体" w:hAnsi="宋体" w:cs="宋体"/>
                <w:color w:val="000000"/>
                <w:kern w:val="0"/>
                <w:sz w:val="18"/>
                <w:szCs w:val="18"/>
              </w:rPr>
              <w:t>100</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18"/>
                <w:szCs w:val="18"/>
              </w:rPr>
            </w:pPr>
            <w:r>
              <w:rPr>
                <w:rFonts w:ascii="宋体" w:hAnsi="宋体" w:cs="宋体" w:hint="eastAsia"/>
                <w:color w:val="000000"/>
                <w:kern w:val="0"/>
                <w:sz w:val="18"/>
                <w:szCs w:val="18"/>
              </w:rPr>
              <w:t>95.771</w:t>
            </w:r>
          </w:p>
        </w:tc>
        <w:tc>
          <w:tcPr>
            <w:tcW w:w="793" w:type="pct"/>
            <w:gridSpan w:val="2"/>
            <w:tcBorders>
              <w:top w:val="single" w:sz="4" w:space="0" w:color="auto"/>
              <w:left w:val="nil"/>
              <w:bottom w:val="single" w:sz="4" w:space="0" w:color="auto"/>
              <w:right w:val="single" w:sz="4" w:space="0" w:color="auto"/>
            </w:tcBorders>
            <w:shd w:val="clear" w:color="auto" w:fill="auto"/>
            <w:noWrap/>
            <w:vAlign w:val="center"/>
          </w:tcPr>
          <w:p w:rsidR="00351394" w:rsidRDefault="00351394" w:rsidP="003278A3">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bl>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tbl>
      <w:tblPr>
        <w:tblpPr w:leftFromText="180" w:rightFromText="180" w:vertAnchor="page" w:horzAnchor="margin" w:tblpY="13872"/>
        <w:tblW w:w="5000" w:type="pct"/>
        <w:tblLook w:val="04A0" w:firstRow="1" w:lastRow="0" w:firstColumn="1" w:lastColumn="0" w:noHBand="0" w:noVBand="1"/>
      </w:tblPr>
      <w:tblGrid>
        <w:gridCol w:w="437"/>
        <w:gridCol w:w="629"/>
        <w:gridCol w:w="28"/>
        <w:gridCol w:w="894"/>
        <w:gridCol w:w="585"/>
        <w:gridCol w:w="622"/>
        <w:gridCol w:w="213"/>
        <w:gridCol w:w="932"/>
        <w:gridCol w:w="57"/>
        <w:gridCol w:w="836"/>
        <w:gridCol w:w="414"/>
        <w:gridCol w:w="452"/>
        <w:gridCol w:w="436"/>
        <w:gridCol w:w="458"/>
        <w:gridCol w:w="594"/>
        <w:gridCol w:w="719"/>
      </w:tblGrid>
      <w:tr w:rsidR="00351394" w:rsidTr="003278A3">
        <w:trPr>
          <w:trHeight w:val="391"/>
        </w:trPr>
        <w:tc>
          <w:tcPr>
            <w:tcW w:w="5000" w:type="pct"/>
            <w:gridSpan w:val="16"/>
            <w:tcBorders>
              <w:top w:val="nil"/>
              <w:left w:val="nil"/>
              <w:bottom w:val="nil"/>
              <w:right w:val="nil"/>
            </w:tcBorders>
            <w:shd w:val="clear" w:color="auto" w:fill="auto"/>
            <w:vAlign w:val="center"/>
          </w:tcPr>
          <w:p w:rsidR="00351394" w:rsidRDefault="00351394" w:rsidP="003278A3">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351394" w:rsidTr="003278A3">
        <w:trPr>
          <w:trHeight w:val="304"/>
        </w:trPr>
        <w:tc>
          <w:tcPr>
            <w:tcW w:w="5000" w:type="pct"/>
            <w:gridSpan w:val="16"/>
            <w:tcBorders>
              <w:top w:val="nil"/>
              <w:left w:val="nil"/>
              <w:bottom w:val="nil"/>
              <w:right w:val="nil"/>
            </w:tcBorders>
            <w:shd w:val="clear" w:color="auto" w:fill="auto"/>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（2024年度）</w:t>
            </w:r>
          </w:p>
        </w:tc>
      </w:tr>
      <w:tr w:rsidR="00351394" w:rsidTr="003278A3">
        <w:trPr>
          <w:trHeight w:val="304"/>
        </w:trPr>
        <w:tc>
          <w:tcPr>
            <w:tcW w:w="6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项目名称</w:t>
            </w:r>
          </w:p>
        </w:tc>
        <w:tc>
          <w:tcPr>
            <w:tcW w:w="4376" w:type="pct"/>
            <w:gridSpan w:val="14"/>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追加2024年临时辅助用工项目经费-</w:t>
            </w:r>
            <w:proofErr w:type="gramStart"/>
            <w:r>
              <w:rPr>
                <w:rFonts w:ascii="宋体" w:hAnsi="宋体" w:cs="宋体" w:hint="eastAsia"/>
                <w:color w:val="000000"/>
                <w:kern w:val="0"/>
                <w:sz w:val="22"/>
                <w:szCs w:val="22"/>
              </w:rPr>
              <w:t>督评中心</w:t>
            </w:r>
            <w:proofErr w:type="gramEnd"/>
          </w:p>
        </w:tc>
      </w:tr>
      <w:tr w:rsidR="00351394" w:rsidTr="003278A3">
        <w:trPr>
          <w:trHeight w:val="304"/>
        </w:trPr>
        <w:tc>
          <w:tcPr>
            <w:tcW w:w="6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主管部门</w:t>
            </w:r>
          </w:p>
        </w:tc>
        <w:tc>
          <w:tcPr>
            <w:tcW w:w="1979" w:type="pct"/>
            <w:gridSpan w:val="6"/>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北京市</w:t>
            </w:r>
            <w:proofErr w:type="gramStart"/>
            <w:r>
              <w:rPr>
                <w:rFonts w:ascii="宋体" w:hAnsi="宋体" w:cs="宋体" w:hint="eastAsia"/>
                <w:color w:val="000000"/>
                <w:kern w:val="0"/>
                <w:sz w:val="22"/>
                <w:szCs w:val="22"/>
              </w:rPr>
              <w:t>大兴区</w:t>
            </w:r>
            <w:proofErr w:type="gramEnd"/>
            <w:r>
              <w:rPr>
                <w:rFonts w:ascii="宋体" w:hAnsi="宋体" w:cs="宋体" w:hint="eastAsia"/>
                <w:color w:val="000000"/>
                <w:kern w:val="0"/>
                <w:sz w:val="22"/>
                <w:szCs w:val="22"/>
              </w:rPr>
              <w:t>教育委员会</w:t>
            </w:r>
          </w:p>
        </w:tc>
        <w:tc>
          <w:tcPr>
            <w:tcW w:w="79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实施单位</w:t>
            </w:r>
          </w:p>
        </w:tc>
        <w:tc>
          <w:tcPr>
            <w:tcW w:w="1606" w:type="pct"/>
            <w:gridSpan w:val="5"/>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北京市</w:t>
            </w:r>
            <w:proofErr w:type="gramStart"/>
            <w:r>
              <w:rPr>
                <w:rFonts w:ascii="宋体" w:hAnsi="宋体" w:cs="宋体" w:hint="eastAsia"/>
                <w:color w:val="000000"/>
                <w:kern w:val="0"/>
                <w:sz w:val="22"/>
                <w:szCs w:val="22"/>
              </w:rPr>
              <w:t>大兴区</w:t>
            </w:r>
            <w:proofErr w:type="gramEnd"/>
            <w:r>
              <w:rPr>
                <w:rFonts w:ascii="宋体" w:hAnsi="宋体" w:cs="宋体" w:hint="eastAsia"/>
                <w:color w:val="000000"/>
                <w:kern w:val="0"/>
                <w:sz w:val="22"/>
                <w:szCs w:val="22"/>
              </w:rPr>
              <w:t>教育综合督导评价中心</w:t>
            </w:r>
          </w:p>
        </w:tc>
      </w:tr>
      <w:tr w:rsidR="00351394" w:rsidTr="003278A3">
        <w:trPr>
          <w:trHeight w:val="312"/>
        </w:trPr>
        <w:tc>
          <w:tcPr>
            <w:tcW w:w="623"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项目资金</w:t>
            </w:r>
            <w:r>
              <w:rPr>
                <w:rFonts w:ascii="宋体" w:hAnsi="宋体" w:cs="宋体" w:hint="eastAsia"/>
                <w:color w:val="000000"/>
                <w:kern w:val="0"/>
                <w:sz w:val="22"/>
                <w:szCs w:val="22"/>
              </w:rPr>
              <w:br/>
              <w:t>（万元）</w:t>
            </w:r>
          </w:p>
        </w:tc>
        <w:tc>
          <w:tcPr>
            <w:tcW w:w="91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年初预算</w:t>
            </w:r>
          </w:p>
        </w:tc>
        <w:tc>
          <w:tcPr>
            <w:tcW w:w="6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全年预算数</w:t>
            </w:r>
          </w:p>
        </w:tc>
        <w:tc>
          <w:tcPr>
            <w:tcW w:w="79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全年执行数</w:t>
            </w:r>
          </w:p>
        </w:tc>
        <w:tc>
          <w:tcPr>
            <w:tcW w:w="5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分值</w:t>
            </w:r>
          </w:p>
        </w:tc>
        <w:tc>
          <w:tcPr>
            <w:tcW w:w="63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执行率</w:t>
            </w:r>
          </w:p>
        </w:tc>
        <w:tc>
          <w:tcPr>
            <w:tcW w:w="431" w:type="pct"/>
            <w:vMerge w:val="restart"/>
            <w:tcBorders>
              <w:top w:val="nil"/>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得分</w:t>
            </w:r>
          </w:p>
        </w:tc>
      </w:tr>
      <w:tr w:rsidR="00351394" w:rsidTr="003278A3">
        <w:trPr>
          <w:trHeight w:val="312"/>
        </w:trPr>
        <w:tc>
          <w:tcPr>
            <w:tcW w:w="623"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center"/>
              <w:rPr>
                <w:rFonts w:ascii="宋体" w:hAnsi="宋体" w:cs="宋体"/>
                <w:color w:val="000000"/>
                <w:kern w:val="0"/>
                <w:sz w:val="22"/>
                <w:szCs w:val="22"/>
              </w:rPr>
            </w:pPr>
          </w:p>
        </w:tc>
        <w:tc>
          <w:tcPr>
            <w:tcW w:w="910" w:type="pct"/>
            <w:gridSpan w:val="3"/>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376" w:type="pct"/>
            <w:vMerge/>
            <w:tcBorders>
              <w:top w:val="nil"/>
              <w:left w:val="single" w:sz="4" w:space="0" w:color="auto"/>
              <w:bottom w:val="single" w:sz="4" w:space="0" w:color="auto"/>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692" w:type="pct"/>
            <w:gridSpan w:val="2"/>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790" w:type="pct"/>
            <w:gridSpan w:val="3"/>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538" w:type="pct"/>
            <w:gridSpan w:val="2"/>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636" w:type="pct"/>
            <w:gridSpan w:val="2"/>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431" w:type="pct"/>
            <w:vMerge/>
            <w:tcBorders>
              <w:top w:val="nil"/>
              <w:left w:val="single" w:sz="4" w:space="0" w:color="auto"/>
              <w:bottom w:val="single" w:sz="4" w:space="0" w:color="auto"/>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r>
      <w:tr w:rsidR="00351394" w:rsidTr="003278A3">
        <w:trPr>
          <w:trHeight w:val="304"/>
        </w:trPr>
        <w:tc>
          <w:tcPr>
            <w:tcW w:w="623"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center"/>
              <w:rPr>
                <w:rFonts w:ascii="宋体" w:hAnsi="宋体" w:cs="宋体"/>
                <w:color w:val="000000"/>
                <w:kern w:val="0"/>
                <w:sz w:val="22"/>
                <w:szCs w:val="22"/>
              </w:rPr>
            </w:pPr>
          </w:p>
        </w:tc>
        <w:tc>
          <w:tcPr>
            <w:tcW w:w="91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年度资金总额</w:t>
            </w:r>
          </w:p>
        </w:tc>
        <w:tc>
          <w:tcPr>
            <w:tcW w:w="376"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6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7.19403</w:t>
            </w:r>
          </w:p>
        </w:tc>
        <w:tc>
          <w:tcPr>
            <w:tcW w:w="79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6.490656</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10分</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90%</w:t>
            </w:r>
          </w:p>
        </w:tc>
        <w:tc>
          <w:tcPr>
            <w:tcW w:w="431"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9.02</w:t>
            </w:r>
          </w:p>
        </w:tc>
      </w:tr>
      <w:tr w:rsidR="00351394" w:rsidTr="003278A3">
        <w:trPr>
          <w:trHeight w:val="304"/>
        </w:trPr>
        <w:tc>
          <w:tcPr>
            <w:tcW w:w="623"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center"/>
              <w:rPr>
                <w:rFonts w:ascii="宋体" w:hAnsi="宋体" w:cs="宋体"/>
                <w:color w:val="000000"/>
                <w:kern w:val="0"/>
                <w:sz w:val="22"/>
                <w:szCs w:val="22"/>
              </w:rPr>
            </w:pPr>
          </w:p>
        </w:tc>
        <w:tc>
          <w:tcPr>
            <w:tcW w:w="91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其中：当年财政拨款</w:t>
            </w:r>
          </w:p>
        </w:tc>
        <w:tc>
          <w:tcPr>
            <w:tcW w:w="376"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6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9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431"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r>
      <w:tr w:rsidR="00351394" w:rsidTr="003278A3">
        <w:trPr>
          <w:trHeight w:val="304"/>
        </w:trPr>
        <w:tc>
          <w:tcPr>
            <w:tcW w:w="623"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center"/>
              <w:rPr>
                <w:rFonts w:ascii="宋体" w:hAnsi="宋体" w:cs="宋体"/>
                <w:color w:val="000000"/>
                <w:kern w:val="0"/>
                <w:sz w:val="22"/>
                <w:szCs w:val="22"/>
              </w:rPr>
            </w:pPr>
          </w:p>
        </w:tc>
        <w:tc>
          <w:tcPr>
            <w:tcW w:w="91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上年结转资金</w:t>
            </w:r>
          </w:p>
        </w:tc>
        <w:tc>
          <w:tcPr>
            <w:tcW w:w="376"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6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9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431"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r>
      <w:tr w:rsidR="00351394" w:rsidTr="003278A3">
        <w:trPr>
          <w:trHeight w:val="304"/>
        </w:trPr>
        <w:tc>
          <w:tcPr>
            <w:tcW w:w="623"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center"/>
              <w:rPr>
                <w:rFonts w:ascii="宋体" w:hAnsi="宋体" w:cs="宋体"/>
                <w:color w:val="000000"/>
                <w:kern w:val="0"/>
                <w:sz w:val="22"/>
                <w:szCs w:val="22"/>
              </w:rPr>
            </w:pPr>
          </w:p>
        </w:tc>
        <w:tc>
          <w:tcPr>
            <w:tcW w:w="91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其他资金</w:t>
            </w:r>
          </w:p>
        </w:tc>
        <w:tc>
          <w:tcPr>
            <w:tcW w:w="376"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6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9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431"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r>
      <w:tr w:rsidR="00351394" w:rsidTr="003278A3">
        <w:trPr>
          <w:trHeight w:val="304"/>
        </w:trPr>
        <w:tc>
          <w:tcPr>
            <w:tcW w:w="623"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center"/>
              <w:rPr>
                <w:rFonts w:ascii="宋体" w:hAnsi="宋体" w:cs="宋体"/>
                <w:color w:val="000000"/>
                <w:kern w:val="0"/>
                <w:sz w:val="22"/>
                <w:szCs w:val="22"/>
              </w:rPr>
            </w:pPr>
          </w:p>
        </w:tc>
        <w:tc>
          <w:tcPr>
            <w:tcW w:w="91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中央直达资金 </w:t>
            </w:r>
          </w:p>
        </w:tc>
        <w:tc>
          <w:tcPr>
            <w:tcW w:w="376"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6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9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431"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r>
      <w:tr w:rsidR="00351394" w:rsidTr="003278A3">
        <w:trPr>
          <w:trHeight w:val="492"/>
        </w:trPr>
        <w:tc>
          <w:tcPr>
            <w:tcW w:w="255"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年度总体目标</w:t>
            </w:r>
          </w:p>
        </w:tc>
        <w:tc>
          <w:tcPr>
            <w:tcW w:w="2381" w:type="pct"/>
            <w:gridSpan w:val="8"/>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预期目标</w:t>
            </w:r>
          </w:p>
        </w:tc>
        <w:tc>
          <w:tcPr>
            <w:tcW w:w="2362" w:type="pct"/>
            <w:gridSpan w:val="7"/>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实际完成情况</w:t>
            </w:r>
          </w:p>
        </w:tc>
      </w:tr>
      <w:tr w:rsidR="00351394" w:rsidTr="003278A3">
        <w:trPr>
          <w:trHeight w:val="888"/>
        </w:trPr>
        <w:tc>
          <w:tcPr>
            <w:tcW w:w="255"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2381" w:type="pct"/>
            <w:gridSpan w:val="8"/>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1.贯彻执行国家财政预算政策。                                     2.促进临时辅助用工人员经费的支出原则。 3.认真完成每月临时辅助用工人员的基本工资核实编报工作并及时报送第三方派遣单位，及时准确发放临时辅助人员的工资。</w:t>
            </w:r>
          </w:p>
        </w:tc>
        <w:tc>
          <w:tcPr>
            <w:tcW w:w="2362" w:type="pct"/>
            <w:gridSpan w:val="7"/>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已完成</w:t>
            </w:r>
          </w:p>
        </w:tc>
      </w:tr>
      <w:tr w:rsidR="00351394" w:rsidTr="003278A3">
        <w:trPr>
          <w:trHeight w:val="734"/>
        </w:trPr>
        <w:tc>
          <w:tcPr>
            <w:tcW w:w="255"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绩</w:t>
            </w:r>
            <w:r>
              <w:rPr>
                <w:rFonts w:ascii="宋体" w:hAnsi="宋体" w:cs="宋体" w:hint="eastAsia"/>
                <w:color w:val="000000"/>
                <w:kern w:val="0"/>
                <w:sz w:val="22"/>
                <w:szCs w:val="22"/>
              </w:rPr>
              <w:br/>
              <w:t>效</w:t>
            </w:r>
            <w:r>
              <w:rPr>
                <w:rFonts w:ascii="宋体" w:hAnsi="宋体" w:cs="宋体" w:hint="eastAsia"/>
                <w:color w:val="000000"/>
                <w:kern w:val="0"/>
                <w:sz w:val="22"/>
                <w:szCs w:val="22"/>
              </w:rPr>
              <w:br/>
              <w:t>指</w:t>
            </w:r>
            <w:r>
              <w:rPr>
                <w:rFonts w:ascii="宋体" w:hAnsi="宋体" w:cs="宋体" w:hint="eastAsia"/>
                <w:color w:val="000000"/>
                <w:kern w:val="0"/>
                <w:sz w:val="22"/>
                <w:szCs w:val="22"/>
              </w:rPr>
              <w:br/>
              <w:t>标</w:t>
            </w:r>
          </w:p>
        </w:tc>
        <w:tc>
          <w:tcPr>
            <w:tcW w:w="384" w:type="pct"/>
            <w:gridSpan w:val="2"/>
            <w:tcBorders>
              <w:top w:val="nil"/>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22"/>
                <w:szCs w:val="22"/>
              </w:rPr>
            </w:pPr>
            <w:r>
              <w:rPr>
                <w:rFonts w:ascii="宋体" w:hAnsi="宋体" w:cs="宋体" w:hint="eastAsia"/>
                <w:color w:val="000000"/>
                <w:kern w:val="0"/>
                <w:sz w:val="22"/>
                <w:szCs w:val="22"/>
              </w:rPr>
              <w:t>一级指标</w:t>
            </w:r>
          </w:p>
        </w:tc>
        <w:tc>
          <w:tcPr>
            <w:tcW w:w="540"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22"/>
                <w:szCs w:val="22"/>
              </w:rPr>
            </w:pPr>
            <w:r>
              <w:rPr>
                <w:rFonts w:ascii="宋体" w:hAnsi="宋体" w:cs="宋体" w:hint="eastAsia"/>
                <w:color w:val="000000"/>
                <w:kern w:val="0"/>
                <w:sz w:val="22"/>
                <w:szCs w:val="22"/>
              </w:rPr>
              <w:t>二级指标</w:t>
            </w:r>
          </w:p>
        </w:tc>
        <w:tc>
          <w:tcPr>
            <w:tcW w:w="860" w:type="pct"/>
            <w:gridSpan w:val="3"/>
            <w:tcBorders>
              <w:top w:val="single" w:sz="4" w:space="0" w:color="auto"/>
              <w:left w:val="nil"/>
              <w:bottom w:val="single" w:sz="4" w:space="0" w:color="auto"/>
              <w:right w:val="single" w:sz="4" w:space="0" w:color="000000"/>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三级指标</w:t>
            </w:r>
          </w:p>
        </w:tc>
        <w:tc>
          <w:tcPr>
            <w:tcW w:w="596" w:type="pct"/>
            <w:gridSpan w:val="2"/>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年度指标值</w:t>
            </w:r>
          </w:p>
        </w:tc>
        <w:tc>
          <w:tcPr>
            <w:tcW w:w="50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实际完成值</w:t>
            </w:r>
          </w:p>
        </w:tc>
        <w:tc>
          <w:tcPr>
            <w:tcW w:w="525" w:type="pct"/>
            <w:gridSpan w:val="2"/>
            <w:tcBorders>
              <w:top w:val="single" w:sz="4" w:space="0" w:color="auto"/>
              <w:left w:val="nil"/>
              <w:bottom w:val="single" w:sz="4" w:space="0" w:color="auto"/>
              <w:right w:val="single" w:sz="4" w:space="0" w:color="000000"/>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分值</w:t>
            </w:r>
          </w:p>
        </w:tc>
        <w:tc>
          <w:tcPr>
            <w:tcW w:w="541" w:type="pct"/>
            <w:gridSpan w:val="2"/>
            <w:tcBorders>
              <w:top w:val="single" w:sz="4" w:space="0" w:color="auto"/>
              <w:left w:val="nil"/>
              <w:bottom w:val="single" w:sz="4" w:space="0" w:color="auto"/>
              <w:right w:val="single" w:sz="4" w:space="0" w:color="000000"/>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得分</w:t>
            </w:r>
          </w:p>
        </w:tc>
        <w:tc>
          <w:tcPr>
            <w:tcW w:w="792" w:type="pct"/>
            <w:gridSpan w:val="2"/>
            <w:tcBorders>
              <w:top w:val="single" w:sz="4" w:space="0" w:color="auto"/>
              <w:left w:val="nil"/>
              <w:bottom w:val="single" w:sz="4" w:space="0" w:color="auto"/>
              <w:right w:val="single" w:sz="4" w:space="0" w:color="000000"/>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偏差原因分析及改进措施</w:t>
            </w:r>
          </w:p>
        </w:tc>
      </w:tr>
      <w:tr w:rsidR="00351394" w:rsidTr="003278A3">
        <w:trPr>
          <w:trHeight w:val="304"/>
        </w:trPr>
        <w:tc>
          <w:tcPr>
            <w:tcW w:w="255"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384" w:type="pct"/>
            <w:gridSpan w:val="2"/>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产出指标（40分）</w:t>
            </w:r>
          </w:p>
        </w:tc>
        <w:tc>
          <w:tcPr>
            <w:tcW w:w="540"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数量指标</w:t>
            </w:r>
          </w:p>
        </w:tc>
        <w:tc>
          <w:tcPr>
            <w:tcW w:w="86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按时发放临时辅助用工6人工资等</w:t>
            </w:r>
          </w:p>
        </w:tc>
        <w:tc>
          <w:tcPr>
            <w:tcW w:w="596" w:type="pct"/>
            <w:gridSpan w:val="2"/>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发放12个月</w:t>
            </w:r>
          </w:p>
        </w:tc>
        <w:tc>
          <w:tcPr>
            <w:tcW w:w="50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已完成</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20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20</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04"/>
        </w:trPr>
        <w:tc>
          <w:tcPr>
            <w:tcW w:w="255"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384" w:type="pct"/>
            <w:gridSpan w:val="2"/>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540"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质量指标</w:t>
            </w:r>
          </w:p>
        </w:tc>
        <w:tc>
          <w:tcPr>
            <w:tcW w:w="86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每月发放按月申报的临时辅助用工</w:t>
            </w:r>
            <w:r>
              <w:rPr>
                <w:rFonts w:ascii="宋体" w:hAnsi="宋体" w:cs="宋体" w:hint="eastAsia"/>
                <w:color w:val="000000"/>
                <w:kern w:val="0"/>
                <w:sz w:val="22"/>
                <w:szCs w:val="22"/>
              </w:rPr>
              <w:lastRenderedPageBreak/>
              <w:t>工资及保险等</w:t>
            </w:r>
          </w:p>
        </w:tc>
        <w:tc>
          <w:tcPr>
            <w:tcW w:w="596" w:type="pct"/>
            <w:gridSpan w:val="2"/>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lastRenderedPageBreak/>
              <w:t>按合同约定按时发放</w:t>
            </w:r>
          </w:p>
        </w:tc>
        <w:tc>
          <w:tcPr>
            <w:tcW w:w="50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已完成</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04"/>
        </w:trPr>
        <w:tc>
          <w:tcPr>
            <w:tcW w:w="255"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384" w:type="pct"/>
            <w:gridSpan w:val="2"/>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540"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时效指标</w:t>
            </w:r>
          </w:p>
        </w:tc>
        <w:tc>
          <w:tcPr>
            <w:tcW w:w="86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按照合同约定，按月进行申请结算</w:t>
            </w:r>
          </w:p>
        </w:tc>
        <w:tc>
          <w:tcPr>
            <w:tcW w:w="596" w:type="pct"/>
            <w:gridSpan w:val="2"/>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按合同约定按时发放</w:t>
            </w:r>
          </w:p>
        </w:tc>
        <w:tc>
          <w:tcPr>
            <w:tcW w:w="50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已完成</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04"/>
        </w:trPr>
        <w:tc>
          <w:tcPr>
            <w:tcW w:w="255"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384" w:type="pct"/>
            <w:gridSpan w:val="2"/>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成本指标（10分）</w:t>
            </w:r>
          </w:p>
        </w:tc>
        <w:tc>
          <w:tcPr>
            <w:tcW w:w="540"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经济成本指标</w:t>
            </w:r>
          </w:p>
        </w:tc>
        <w:tc>
          <w:tcPr>
            <w:tcW w:w="86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全年的临时辅助用工工资</w:t>
            </w:r>
          </w:p>
        </w:tc>
        <w:tc>
          <w:tcPr>
            <w:tcW w:w="596" w:type="pct"/>
            <w:gridSpan w:val="2"/>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7.19403万元</w:t>
            </w:r>
          </w:p>
        </w:tc>
        <w:tc>
          <w:tcPr>
            <w:tcW w:w="50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已完成</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9</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因社保调整</w:t>
            </w:r>
          </w:p>
        </w:tc>
      </w:tr>
      <w:tr w:rsidR="00351394" w:rsidTr="003278A3">
        <w:trPr>
          <w:trHeight w:val="304"/>
        </w:trPr>
        <w:tc>
          <w:tcPr>
            <w:tcW w:w="255"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384" w:type="pct"/>
            <w:gridSpan w:val="2"/>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540"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社会成本指标</w:t>
            </w:r>
          </w:p>
        </w:tc>
        <w:tc>
          <w:tcPr>
            <w:tcW w:w="86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指标1：</w:t>
            </w:r>
          </w:p>
        </w:tc>
        <w:tc>
          <w:tcPr>
            <w:tcW w:w="596" w:type="pct"/>
            <w:gridSpan w:val="2"/>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0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04"/>
        </w:trPr>
        <w:tc>
          <w:tcPr>
            <w:tcW w:w="255"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384" w:type="pct"/>
            <w:gridSpan w:val="2"/>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540"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生态环境成本指标</w:t>
            </w:r>
          </w:p>
        </w:tc>
        <w:tc>
          <w:tcPr>
            <w:tcW w:w="86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指标1：</w:t>
            </w:r>
          </w:p>
        </w:tc>
        <w:tc>
          <w:tcPr>
            <w:tcW w:w="596" w:type="pct"/>
            <w:gridSpan w:val="2"/>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0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04"/>
        </w:trPr>
        <w:tc>
          <w:tcPr>
            <w:tcW w:w="255"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384" w:type="pct"/>
            <w:gridSpan w:val="2"/>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效益指标（30分）</w:t>
            </w:r>
          </w:p>
        </w:tc>
        <w:tc>
          <w:tcPr>
            <w:tcW w:w="540"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经济效益指标</w:t>
            </w:r>
          </w:p>
        </w:tc>
        <w:tc>
          <w:tcPr>
            <w:tcW w:w="86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指标1：</w:t>
            </w:r>
          </w:p>
        </w:tc>
        <w:tc>
          <w:tcPr>
            <w:tcW w:w="596" w:type="pct"/>
            <w:gridSpan w:val="2"/>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0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04"/>
        </w:trPr>
        <w:tc>
          <w:tcPr>
            <w:tcW w:w="255"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384" w:type="pct"/>
            <w:gridSpan w:val="2"/>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540"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社会效益指标</w:t>
            </w:r>
          </w:p>
        </w:tc>
        <w:tc>
          <w:tcPr>
            <w:tcW w:w="86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解决社会就业问题</w:t>
            </w:r>
          </w:p>
        </w:tc>
        <w:tc>
          <w:tcPr>
            <w:tcW w:w="596" w:type="pct"/>
            <w:gridSpan w:val="2"/>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是否解决</w:t>
            </w:r>
          </w:p>
        </w:tc>
        <w:tc>
          <w:tcPr>
            <w:tcW w:w="50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已完成</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20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20</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04"/>
        </w:trPr>
        <w:tc>
          <w:tcPr>
            <w:tcW w:w="255"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384" w:type="pct"/>
            <w:gridSpan w:val="2"/>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540"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生态效益指标</w:t>
            </w:r>
          </w:p>
        </w:tc>
        <w:tc>
          <w:tcPr>
            <w:tcW w:w="86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指标1：</w:t>
            </w:r>
          </w:p>
        </w:tc>
        <w:tc>
          <w:tcPr>
            <w:tcW w:w="596" w:type="pct"/>
            <w:gridSpan w:val="2"/>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0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405"/>
        </w:trPr>
        <w:tc>
          <w:tcPr>
            <w:tcW w:w="255"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384" w:type="pct"/>
            <w:gridSpan w:val="2"/>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540"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可持续影响指标</w:t>
            </w:r>
          </w:p>
        </w:tc>
        <w:tc>
          <w:tcPr>
            <w:tcW w:w="86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持续发挥作用的期限</w:t>
            </w:r>
          </w:p>
        </w:tc>
        <w:tc>
          <w:tcPr>
            <w:tcW w:w="596" w:type="pct"/>
            <w:gridSpan w:val="2"/>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1年</w:t>
            </w:r>
          </w:p>
        </w:tc>
        <w:tc>
          <w:tcPr>
            <w:tcW w:w="50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已完成</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04"/>
        </w:trPr>
        <w:tc>
          <w:tcPr>
            <w:tcW w:w="255"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384" w:type="pct"/>
            <w:gridSpan w:val="2"/>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540"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86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指标2：</w:t>
            </w:r>
          </w:p>
        </w:tc>
        <w:tc>
          <w:tcPr>
            <w:tcW w:w="596" w:type="pct"/>
            <w:gridSpan w:val="2"/>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0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04"/>
        </w:trPr>
        <w:tc>
          <w:tcPr>
            <w:tcW w:w="255"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384" w:type="pct"/>
            <w:gridSpan w:val="2"/>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540"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86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596" w:type="pct"/>
            <w:gridSpan w:val="2"/>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0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04"/>
        </w:trPr>
        <w:tc>
          <w:tcPr>
            <w:tcW w:w="255"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384" w:type="pct"/>
            <w:gridSpan w:val="2"/>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满意度指标（10分）</w:t>
            </w:r>
          </w:p>
        </w:tc>
        <w:tc>
          <w:tcPr>
            <w:tcW w:w="540"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服务对象满意度指标</w:t>
            </w:r>
          </w:p>
        </w:tc>
        <w:tc>
          <w:tcPr>
            <w:tcW w:w="86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学校对临时辅助用工人员的满意度</w:t>
            </w:r>
          </w:p>
        </w:tc>
        <w:tc>
          <w:tcPr>
            <w:tcW w:w="596" w:type="pct"/>
            <w:gridSpan w:val="2"/>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color w:val="000000"/>
                <w:kern w:val="0"/>
                <w:sz w:val="22"/>
                <w:szCs w:val="22"/>
              </w:rPr>
              <w:t>≥</w:t>
            </w:r>
            <w:r>
              <w:rPr>
                <w:rFonts w:ascii="宋体" w:hAnsi="宋体" w:cs="宋体" w:hint="eastAsia"/>
                <w:color w:val="000000"/>
                <w:kern w:val="0"/>
                <w:sz w:val="22"/>
                <w:szCs w:val="22"/>
              </w:rPr>
              <w:t>95%</w:t>
            </w:r>
          </w:p>
        </w:tc>
        <w:tc>
          <w:tcPr>
            <w:tcW w:w="50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已完成</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04"/>
        </w:trPr>
        <w:tc>
          <w:tcPr>
            <w:tcW w:w="255"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384" w:type="pct"/>
            <w:gridSpan w:val="2"/>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540"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86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指标2：</w:t>
            </w:r>
          </w:p>
        </w:tc>
        <w:tc>
          <w:tcPr>
            <w:tcW w:w="596" w:type="pct"/>
            <w:gridSpan w:val="2"/>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0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04"/>
        </w:trPr>
        <w:tc>
          <w:tcPr>
            <w:tcW w:w="255"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384" w:type="pct"/>
            <w:gridSpan w:val="2"/>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540"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center"/>
              <w:rPr>
                <w:rFonts w:ascii="宋体" w:hAnsi="宋体" w:cs="宋体"/>
                <w:color w:val="000000"/>
                <w:kern w:val="0"/>
                <w:sz w:val="22"/>
                <w:szCs w:val="22"/>
              </w:rPr>
            </w:pPr>
          </w:p>
        </w:tc>
        <w:tc>
          <w:tcPr>
            <w:tcW w:w="860"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596" w:type="pct"/>
            <w:gridSpan w:val="2"/>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03"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04"/>
        </w:trPr>
        <w:tc>
          <w:tcPr>
            <w:tcW w:w="3141"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总分</w:t>
            </w:r>
          </w:p>
        </w:tc>
        <w:tc>
          <w:tcPr>
            <w:tcW w:w="525"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98.02</w:t>
            </w:r>
          </w:p>
        </w:tc>
        <w:tc>
          <w:tcPr>
            <w:tcW w:w="792" w:type="pct"/>
            <w:gridSpan w:val="2"/>
            <w:tcBorders>
              <w:top w:val="single" w:sz="4" w:space="0" w:color="auto"/>
              <w:left w:val="nil"/>
              <w:bottom w:val="single" w:sz="4" w:space="0" w:color="auto"/>
              <w:right w:val="single" w:sz="4" w:space="0" w:color="auto"/>
            </w:tcBorders>
            <w:shd w:val="clear" w:color="auto" w:fill="auto"/>
            <w:noWrap/>
            <w:vAlign w:val="center"/>
          </w:tcPr>
          <w:p w:rsidR="00351394" w:rsidRDefault="00351394" w:rsidP="003278A3">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bl>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p w:rsidR="00351394" w:rsidRDefault="00351394"/>
    <w:tbl>
      <w:tblPr>
        <w:tblW w:w="5000" w:type="pct"/>
        <w:tblLook w:val="04A0" w:firstRow="1" w:lastRow="0" w:firstColumn="1" w:lastColumn="0" w:noHBand="0" w:noVBand="1"/>
      </w:tblPr>
      <w:tblGrid>
        <w:gridCol w:w="451"/>
        <w:gridCol w:w="656"/>
        <w:gridCol w:w="875"/>
        <w:gridCol w:w="607"/>
        <w:gridCol w:w="606"/>
        <w:gridCol w:w="164"/>
        <w:gridCol w:w="1206"/>
        <w:gridCol w:w="830"/>
        <w:gridCol w:w="442"/>
        <w:gridCol w:w="387"/>
        <w:gridCol w:w="472"/>
        <w:gridCol w:w="387"/>
        <w:gridCol w:w="613"/>
        <w:gridCol w:w="610"/>
      </w:tblGrid>
      <w:tr w:rsidR="00351394" w:rsidTr="003278A3">
        <w:trPr>
          <w:trHeight w:val="405"/>
        </w:trPr>
        <w:tc>
          <w:tcPr>
            <w:tcW w:w="5000" w:type="pct"/>
            <w:gridSpan w:val="14"/>
            <w:tcBorders>
              <w:top w:val="nil"/>
              <w:left w:val="nil"/>
              <w:bottom w:val="nil"/>
              <w:right w:val="nil"/>
            </w:tcBorders>
            <w:shd w:val="clear" w:color="auto" w:fill="auto"/>
            <w:vAlign w:val="center"/>
          </w:tcPr>
          <w:p w:rsidR="00351394" w:rsidRDefault="00351394" w:rsidP="003278A3">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351394" w:rsidTr="003278A3">
        <w:trPr>
          <w:trHeight w:val="315"/>
        </w:trPr>
        <w:tc>
          <w:tcPr>
            <w:tcW w:w="5000" w:type="pct"/>
            <w:gridSpan w:val="14"/>
            <w:tcBorders>
              <w:top w:val="nil"/>
              <w:left w:val="nil"/>
              <w:bottom w:val="nil"/>
              <w:right w:val="nil"/>
            </w:tcBorders>
            <w:shd w:val="clear" w:color="auto" w:fill="auto"/>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（2024年度）</w:t>
            </w:r>
          </w:p>
        </w:tc>
      </w:tr>
      <w:tr w:rsidR="00351394" w:rsidTr="003278A3">
        <w:trPr>
          <w:trHeight w:val="315"/>
        </w:trPr>
        <w:tc>
          <w:tcPr>
            <w:tcW w:w="6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项目名称</w:t>
            </w:r>
          </w:p>
        </w:tc>
        <w:tc>
          <w:tcPr>
            <w:tcW w:w="4340" w:type="pct"/>
            <w:gridSpan w:val="1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2024年临时辅助用工项目经费-</w:t>
            </w:r>
            <w:proofErr w:type="gramStart"/>
            <w:r>
              <w:rPr>
                <w:rFonts w:ascii="宋体" w:hAnsi="宋体" w:cs="宋体" w:hint="eastAsia"/>
                <w:color w:val="000000"/>
                <w:kern w:val="0"/>
                <w:sz w:val="22"/>
                <w:szCs w:val="22"/>
              </w:rPr>
              <w:t>督评中心</w:t>
            </w:r>
            <w:proofErr w:type="gramEnd"/>
          </w:p>
        </w:tc>
      </w:tr>
      <w:tr w:rsidR="00351394" w:rsidTr="003278A3">
        <w:trPr>
          <w:trHeight w:val="315"/>
        </w:trPr>
        <w:tc>
          <w:tcPr>
            <w:tcW w:w="6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主管部门</w:t>
            </w:r>
          </w:p>
        </w:tc>
        <w:tc>
          <w:tcPr>
            <w:tcW w:w="2075" w:type="pct"/>
            <w:gridSpan w:val="5"/>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北京市</w:t>
            </w:r>
            <w:proofErr w:type="gramStart"/>
            <w:r>
              <w:rPr>
                <w:rFonts w:ascii="宋体" w:hAnsi="宋体" w:cs="宋体" w:hint="eastAsia"/>
                <w:color w:val="000000"/>
                <w:kern w:val="0"/>
                <w:sz w:val="22"/>
                <w:szCs w:val="22"/>
              </w:rPr>
              <w:t>大兴区</w:t>
            </w:r>
            <w:proofErr w:type="gramEnd"/>
            <w:r>
              <w:rPr>
                <w:rFonts w:ascii="宋体" w:hAnsi="宋体" w:cs="宋体" w:hint="eastAsia"/>
                <w:color w:val="000000"/>
                <w:kern w:val="0"/>
                <w:sz w:val="22"/>
                <w:szCs w:val="22"/>
              </w:rPr>
              <w:t>教育委员会</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实施单位</w:t>
            </w:r>
          </w:p>
        </w:tc>
        <w:tc>
          <w:tcPr>
            <w:tcW w:w="1494" w:type="pct"/>
            <w:gridSpan w:val="5"/>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北京市</w:t>
            </w:r>
            <w:proofErr w:type="gramStart"/>
            <w:r>
              <w:rPr>
                <w:rFonts w:ascii="宋体" w:hAnsi="宋体" w:cs="宋体" w:hint="eastAsia"/>
                <w:color w:val="000000"/>
                <w:kern w:val="0"/>
                <w:sz w:val="22"/>
                <w:szCs w:val="22"/>
              </w:rPr>
              <w:t>大兴区</w:t>
            </w:r>
            <w:proofErr w:type="gramEnd"/>
            <w:r>
              <w:rPr>
                <w:rFonts w:ascii="宋体" w:hAnsi="宋体" w:cs="宋体" w:hint="eastAsia"/>
                <w:color w:val="000000"/>
                <w:kern w:val="0"/>
                <w:sz w:val="22"/>
                <w:szCs w:val="22"/>
              </w:rPr>
              <w:t>教育综合督导评价中心</w:t>
            </w:r>
          </w:p>
        </w:tc>
      </w:tr>
      <w:tr w:rsidR="00351394" w:rsidTr="003278A3">
        <w:trPr>
          <w:trHeight w:val="315"/>
        </w:trPr>
        <w:tc>
          <w:tcPr>
            <w:tcW w:w="659"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项目资金</w:t>
            </w:r>
            <w:r>
              <w:rPr>
                <w:rFonts w:ascii="宋体" w:hAnsi="宋体" w:cs="宋体" w:hint="eastAsia"/>
                <w:color w:val="000000"/>
                <w:kern w:val="0"/>
                <w:sz w:val="22"/>
                <w:szCs w:val="22"/>
              </w:rPr>
              <w:br/>
              <w:t>（万元）</w:t>
            </w:r>
          </w:p>
        </w:tc>
        <w:tc>
          <w:tcPr>
            <w:tcW w:w="8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年初预算</w:t>
            </w:r>
          </w:p>
        </w:tc>
        <w:tc>
          <w:tcPr>
            <w:tcW w:w="8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全年预算数</w:t>
            </w:r>
          </w:p>
        </w:tc>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全年执行数</w:t>
            </w:r>
          </w:p>
        </w:tc>
        <w:tc>
          <w:tcPr>
            <w:tcW w:w="5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分值</w:t>
            </w:r>
          </w:p>
        </w:tc>
        <w:tc>
          <w:tcPr>
            <w:tcW w:w="6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执行率</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得分</w:t>
            </w:r>
          </w:p>
        </w:tc>
      </w:tr>
      <w:tr w:rsidR="00351394" w:rsidTr="003278A3">
        <w:trPr>
          <w:trHeight w:val="315"/>
        </w:trPr>
        <w:tc>
          <w:tcPr>
            <w:tcW w:w="659"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left"/>
              <w:rPr>
                <w:rFonts w:ascii="宋体" w:hAnsi="宋体" w:cs="宋体"/>
                <w:color w:val="000000"/>
                <w:kern w:val="0"/>
                <w:sz w:val="22"/>
                <w:szCs w:val="22"/>
              </w:rPr>
            </w:pPr>
          </w:p>
        </w:tc>
        <w:tc>
          <w:tcPr>
            <w:tcW w:w="897" w:type="pct"/>
            <w:gridSpan w:val="2"/>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367" w:type="pct"/>
            <w:vMerge/>
            <w:tcBorders>
              <w:top w:val="nil"/>
              <w:left w:val="single" w:sz="4" w:space="0" w:color="auto"/>
              <w:bottom w:val="single" w:sz="4" w:space="0" w:color="auto"/>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810" w:type="pct"/>
            <w:gridSpan w:val="2"/>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770" w:type="pct"/>
            <w:gridSpan w:val="2"/>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521" w:type="pct"/>
            <w:gridSpan w:val="2"/>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606" w:type="pct"/>
            <w:gridSpan w:val="2"/>
            <w:vMerge/>
            <w:tcBorders>
              <w:top w:val="single" w:sz="4" w:space="0" w:color="auto"/>
              <w:left w:val="single" w:sz="4" w:space="0" w:color="auto"/>
              <w:bottom w:val="single" w:sz="4" w:space="0" w:color="auto"/>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367" w:type="pct"/>
            <w:vMerge/>
            <w:tcBorders>
              <w:top w:val="nil"/>
              <w:left w:val="single" w:sz="4" w:space="0" w:color="auto"/>
              <w:bottom w:val="single" w:sz="4" w:space="0" w:color="auto"/>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r>
      <w:tr w:rsidR="00351394" w:rsidTr="003278A3">
        <w:trPr>
          <w:trHeight w:val="315"/>
        </w:trPr>
        <w:tc>
          <w:tcPr>
            <w:tcW w:w="659"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left"/>
              <w:rPr>
                <w:rFonts w:ascii="宋体" w:hAnsi="宋体" w:cs="宋体"/>
                <w:color w:val="000000"/>
                <w:kern w:val="0"/>
                <w:sz w:val="22"/>
                <w:szCs w:val="22"/>
              </w:rPr>
            </w:pPr>
          </w:p>
        </w:tc>
        <w:tc>
          <w:tcPr>
            <w:tcW w:w="89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rPr>
                <w:rFonts w:ascii="宋体" w:hAnsi="宋体" w:cs="宋体"/>
                <w:color w:val="000000"/>
                <w:kern w:val="0"/>
                <w:sz w:val="22"/>
                <w:szCs w:val="22"/>
              </w:rPr>
            </w:pPr>
            <w:r>
              <w:rPr>
                <w:rFonts w:ascii="宋体" w:hAnsi="宋体" w:cs="宋体" w:hint="eastAsia"/>
                <w:color w:val="000000"/>
                <w:kern w:val="0"/>
                <w:sz w:val="22"/>
                <w:szCs w:val="22"/>
              </w:rPr>
              <w:t>年度资金总额</w:t>
            </w:r>
          </w:p>
        </w:tc>
        <w:tc>
          <w:tcPr>
            <w:tcW w:w="3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810"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36.115788</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36.115788</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10分</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100%</w:t>
            </w:r>
          </w:p>
        </w:tc>
        <w:tc>
          <w:tcPr>
            <w:tcW w:w="3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r>
      <w:tr w:rsidR="00351394" w:rsidTr="003278A3">
        <w:trPr>
          <w:trHeight w:val="315"/>
        </w:trPr>
        <w:tc>
          <w:tcPr>
            <w:tcW w:w="659"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left"/>
              <w:rPr>
                <w:rFonts w:ascii="宋体" w:hAnsi="宋体" w:cs="宋体"/>
                <w:color w:val="000000"/>
                <w:kern w:val="0"/>
                <w:sz w:val="22"/>
                <w:szCs w:val="22"/>
              </w:rPr>
            </w:pPr>
          </w:p>
        </w:tc>
        <w:tc>
          <w:tcPr>
            <w:tcW w:w="89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其中：当年财政拨款</w:t>
            </w:r>
          </w:p>
        </w:tc>
        <w:tc>
          <w:tcPr>
            <w:tcW w:w="3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810"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3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r>
      <w:tr w:rsidR="00351394" w:rsidTr="003278A3">
        <w:trPr>
          <w:trHeight w:val="315"/>
        </w:trPr>
        <w:tc>
          <w:tcPr>
            <w:tcW w:w="659"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left"/>
              <w:rPr>
                <w:rFonts w:ascii="宋体" w:hAnsi="宋体" w:cs="宋体"/>
                <w:color w:val="000000"/>
                <w:kern w:val="0"/>
                <w:sz w:val="22"/>
                <w:szCs w:val="22"/>
              </w:rPr>
            </w:pPr>
          </w:p>
        </w:tc>
        <w:tc>
          <w:tcPr>
            <w:tcW w:w="89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上年结转资金</w:t>
            </w:r>
          </w:p>
        </w:tc>
        <w:tc>
          <w:tcPr>
            <w:tcW w:w="3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810"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3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r>
      <w:tr w:rsidR="00351394" w:rsidTr="003278A3">
        <w:trPr>
          <w:trHeight w:val="315"/>
        </w:trPr>
        <w:tc>
          <w:tcPr>
            <w:tcW w:w="659"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left"/>
              <w:rPr>
                <w:rFonts w:ascii="宋体" w:hAnsi="宋体" w:cs="宋体"/>
                <w:color w:val="000000"/>
                <w:kern w:val="0"/>
                <w:sz w:val="22"/>
                <w:szCs w:val="22"/>
              </w:rPr>
            </w:pPr>
          </w:p>
        </w:tc>
        <w:tc>
          <w:tcPr>
            <w:tcW w:w="89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其他资金</w:t>
            </w:r>
          </w:p>
        </w:tc>
        <w:tc>
          <w:tcPr>
            <w:tcW w:w="3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810"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3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r>
      <w:tr w:rsidR="00351394" w:rsidTr="003278A3">
        <w:trPr>
          <w:trHeight w:val="315"/>
        </w:trPr>
        <w:tc>
          <w:tcPr>
            <w:tcW w:w="659" w:type="pct"/>
            <w:gridSpan w:val="2"/>
            <w:vMerge/>
            <w:tcBorders>
              <w:top w:val="single" w:sz="4" w:space="0" w:color="auto"/>
              <w:left w:val="single" w:sz="4" w:space="0" w:color="auto"/>
              <w:bottom w:val="single" w:sz="4" w:space="0" w:color="000000"/>
              <w:right w:val="single" w:sz="4" w:space="0" w:color="000000"/>
            </w:tcBorders>
            <w:vAlign w:val="center"/>
          </w:tcPr>
          <w:p w:rsidR="00351394" w:rsidRDefault="00351394" w:rsidP="003278A3">
            <w:pPr>
              <w:widowControl/>
              <w:jc w:val="left"/>
              <w:rPr>
                <w:rFonts w:ascii="宋体" w:hAnsi="宋体" w:cs="宋体"/>
                <w:color w:val="000000"/>
                <w:kern w:val="0"/>
                <w:sz w:val="22"/>
                <w:szCs w:val="22"/>
              </w:rPr>
            </w:pPr>
          </w:p>
        </w:tc>
        <w:tc>
          <w:tcPr>
            <w:tcW w:w="897"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中央直达资金 </w:t>
            </w:r>
          </w:p>
        </w:tc>
        <w:tc>
          <w:tcPr>
            <w:tcW w:w="3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810"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367"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r>
      <w:tr w:rsidR="00351394" w:rsidTr="003278A3">
        <w:trPr>
          <w:trHeight w:val="510"/>
        </w:trPr>
        <w:tc>
          <w:tcPr>
            <w:tcW w:w="274"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年度总体目标</w:t>
            </w:r>
          </w:p>
        </w:tc>
        <w:tc>
          <w:tcPr>
            <w:tcW w:w="2460" w:type="pct"/>
            <w:gridSpan w:val="6"/>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预期目标</w:t>
            </w:r>
          </w:p>
        </w:tc>
        <w:tc>
          <w:tcPr>
            <w:tcW w:w="2265" w:type="pct"/>
            <w:gridSpan w:val="7"/>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实际完成情况</w:t>
            </w:r>
          </w:p>
        </w:tc>
      </w:tr>
      <w:tr w:rsidR="00351394" w:rsidTr="003278A3">
        <w:trPr>
          <w:trHeight w:val="920"/>
        </w:trPr>
        <w:tc>
          <w:tcPr>
            <w:tcW w:w="27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2460" w:type="pct"/>
            <w:gridSpan w:val="6"/>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22"/>
                <w:szCs w:val="22"/>
              </w:rPr>
            </w:pPr>
            <w:r>
              <w:rPr>
                <w:rFonts w:ascii="宋体" w:hAnsi="宋体" w:cs="宋体" w:hint="eastAsia"/>
                <w:color w:val="000000"/>
                <w:kern w:val="0"/>
                <w:sz w:val="22"/>
                <w:szCs w:val="22"/>
              </w:rPr>
              <w:t>1.贯彻执行国家财政预算政策。                                     2.促进临时辅助用工人员经费的支出原则3.认真完成每月临时辅助用工人员的基本工资核实编报工作并及时报送第三方派遣单位，及时准确发放临时辅助人员的工资。</w:t>
            </w:r>
          </w:p>
        </w:tc>
        <w:tc>
          <w:tcPr>
            <w:tcW w:w="2265" w:type="pct"/>
            <w:gridSpan w:val="7"/>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已完成</w:t>
            </w:r>
          </w:p>
        </w:tc>
      </w:tr>
      <w:tr w:rsidR="00351394" w:rsidTr="003278A3">
        <w:trPr>
          <w:trHeight w:val="760"/>
        </w:trPr>
        <w:tc>
          <w:tcPr>
            <w:tcW w:w="274"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绩</w:t>
            </w:r>
            <w:r>
              <w:rPr>
                <w:rFonts w:ascii="宋体" w:hAnsi="宋体" w:cs="宋体" w:hint="eastAsia"/>
                <w:color w:val="000000"/>
                <w:kern w:val="0"/>
                <w:sz w:val="22"/>
                <w:szCs w:val="22"/>
              </w:rPr>
              <w:br/>
              <w:t>效</w:t>
            </w:r>
            <w:r>
              <w:rPr>
                <w:rFonts w:ascii="宋体" w:hAnsi="宋体" w:cs="宋体" w:hint="eastAsia"/>
                <w:color w:val="000000"/>
                <w:kern w:val="0"/>
                <w:sz w:val="22"/>
                <w:szCs w:val="22"/>
              </w:rPr>
              <w:br/>
              <w:t>指</w:t>
            </w:r>
            <w:r>
              <w:rPr>
                <w:rFonts w:ascii="宋体" w:hAnsi="宋体" w:cs="宋体" w:hint="eastAsia"/>
                <w:color w:val="000000"/>
                <w:kern w:val="0"/>
                <w:sz w:val="22"/>
                <w:szCs w:val="22"/>
              </w:rPr>
              <w:br/>
              <w:t>标</w:t>
            </w:r>
          </w:p>
        </w:tc>
        <w:tc>
          <w:tcPr>
            <w:tcW w:w="384"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22"/>
                <w:szCs w:val="22"/>
              </w:rPr>
            </w:pPr>
            <w:r>
              <w:rPr>
                <w:rFonts w:ascii="宋体" w:hAnsi="宋体" w:cs="宋体" w:hint="eastAsia"/>
                <w:color w:val="000000"/>
                <w:kern w:val="0"/>
                <w:sz w:val="22"/>
                <w:szCs w:val="22"/>
              </w:rPr>
              <w:t>一级指标</w:t>
            </w:r>
          </w:p>
        </w:tc>
        <w:tc>
          <w:tcPr>
            <w:tcW w:w="52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22"/>
                <w:szCs w:val="22"/>
              </w:rPr>
            </w:pPr>
            <w:r>
              <w:rPr>
                <w:rFonts w:ascii="宋体" w:hAnsi="宋体" w:cs="宋体" w:hint="eastAsia"/>
                <w:color w:val="000000"/>
                <w:kern w:val="0"/>
                <w:sz w:val="22"/>
                <w:szCs w:val="22"/>
              </w:rPr>
              <w:t>二级指标</w:t>
            </w:r>
          </w:p>
        </w:tc>
        <w:tc>
          <w:tcPr>
            <w:tcW w:w="836" w:type="pct"/>
            <w:gridSpan w:val="3"/>
            <w:tcBorders>
              <w:top w:val="single" w:sz="4" w:space="0" w:color="auto"/>
              <w:left w:val="nil"/>
              <w:bottom w:val="single" w:sz="4" w:space="0" w:color="auto"/>
              <w:right w:val="single" w:sz="4" w:space="0" w:color="000000"/>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三级指标</w:t>
            </w:r>
          </w:p>
        </w:tc>
        <w:tc>
          <w:tcPr>
            <w:tcW w:w="70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年度指标值</w:t>
            </w:r>
          </w:p>
        </w:tc>
        <w:tc>
          <w:tcPr>
            <w:tcW w:w="50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实际完成值</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分值</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得分</w:t>
            </w:r>
          </w:p>
        </w:tc>
        <w:tc>
          <w:tcPr>
            <w:tcW w:w="738" w:type="pct"/>
            <w:gridSpan w:val="2"/>
            <w:tcBorders>
              <w:top w:val="single" w:sz="4" w:space="0" w:color="auto"/>
              <w:left w:val="nil"/>
              <w:bottom w:val="single" w:sz="4" w:space="0" w:color="auto"/>
              <w:right w:val="single" w:sz="4" w:space="0" w:color="000000"/>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偏差原因分析及改进措施</w:t>
            </w:r>
          </w:p>
        </w:tc>
      </w:tr>
      <w:tr w:rsidR="00351394" w:rsidTr="003278A3">
        <w:trPr>
          <w:trHeight w:val="315"/>
        </w:trPr>
        <w:tc>
          <w:tcPr>
            <w:tcW w:w="27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384"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产出指标（40分）</w:t>
            </w:r>
          </w:p>
        </w:tc>
        <w:tc>
          <w:tcPr>
            <w:tcW w:w="529"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数量指标</w:t>
            </w:r>
          </w:p>
        </w:tc>
        <w:tc>
          <w:tcPr>
            <w:tcW w:w="836"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22"/>
                <w:szCs w:val="22"/>
              </w:rPr>
            </w:pPr>
            <w:r>
              <w:rPr>
                <w:rFonts w:ascii="宋体" w:hAnsi="宋体" w:cs="宋体" w:hint="eastAsia"/>
                <w:color w:val="000000"/>
                <w:kern w:val="0"/>
                <w:sz w:val="22"/>
                <w:szCs w:val="22"/>
              </w:rPr>
              <w:t>按时发放临时辅助用工6人工资等</w:t>
            </w:r>
          </w:p>
        </w:tc>
        <w:tc>
          <w:tcPr>
            <w:tcW w:w="70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发放12个月</w:t>
            </w:r>
          </w:p>
        </w:tc>
        <w:tc>
          <w:tcPr>
            <w:tcW w:w="50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已完成</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20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20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15"/>
        </w:trPr>
        <w:tc>
          <w:tcPr>
            <w:tcW w:w="27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38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529"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质量指标</w:t>
            </w:r>
          </w:p>
        </w:tc>
        <w:tc>
          <w:tcPr>
            <w:tcW w:w="836"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22"/>
                <w:szCs w:val="22"/>
              </w:rPr>
            </w:pPr>
            <w:r>
              <w:rPr>
                <w:rFonts w:ascii="宋体" w:hAnsi="宋体" w:cs="宋体" w:hint="eastAsia"/>
                <w:color w:val="000000"/>
                <w:kern w:val="0"/>
                <w:sz w:val="22"/>
                <w:szCs w:val="22"/>
              </w:rPr>
              <w:t>每月发放按月申报的临时辅助用工工资及保险等</w:t>
            </w:r>
          </w:p>
        </w:tc>
        <w:tc>
          <w:tcPr>
            <w:tcW w:w="70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按合同约定按时发放</w:t>
            </w:r>
          </w:p>
        </w:tc>
        <w:tc>
          <w:tcPr>
            <w:tcW w:w="50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已完成</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15"/>
        </w:trPr>
        <w:tc>
          <w:tcPr>
            <w:tcW w:w="27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38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529"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时效指标</w:t>
            </w:r>
          </w:p>
        </w:tc>
        <w:tc>
          <w:tcPr>
            <w:tcW w:w="836"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22"/>
                <w:szCs w:val="22"/>
              </w:rPr>
            </w:pPr>
            <w:r>
              <w:rPr>
                <w:rFonts w:ascii="宋体" w:hAnsi="宋体" w:cs="宋体" w:hint="eastAsia"/>
                <w:color w:val="000000"/>
                <w:kern w:val="0"/>
                <w:sz w:val="22"/>
                <w:szCs w:val="22"/>
              </w:rPr>
              <w:t>按照合同约定，按月进行申请结算</w:t>
            </w:r>
          </w:p>
        </w:tc>
        <w:tc>
          <w:tcPr>
            <w:tcW w:w="70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按合同约定按时发放</w:t>
            </w:r>
          </w:p>
        </w:tc>
        <w:tc>
          <w:tcPr>
            <w:tcW w:w="50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已完成</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15"/>
        </w:trPr>
        <w:tc>
          <w:tcPr>
            <w:tcW w:w="27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384"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成本指标（10分）</w:t>
            </w:r>
          </w:p>
        </w:tc>
        <w:tc>
          <w:tcPr>
            <w:tcW w:w="52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经济成本指标</w:t>
            </w:r>
          </w:p>
        </w:tc>
        <w:tc>
          <w:tcPr>
            <w:tcW w:w="836"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22"/>
                <w:szCs w:val="22"/>
              </w:rPr>
            </w:pPr>
            <w:r>
              <w:rPr>
                <w:rFonts w:ascii="宋体" w:hAnsi="宋体" w:cs="宋体" w:hint="eastAsia"/>
                <w:color w:val="000000"/>
                <w:kern w:val="0"/>
                <w:sz w:val="22"/>
                <w:szCs w:val="22"/>
              </w:rPr>
              <w:t>全年的临时辅助用工工资</w:t>
            </w:r>
          </w:p>
        </w:tc>
        <w:tc>
          <w:tcPr>
            <w:tcW w:w="70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36.115788万元</w:t>
            </w:r>
          </w:p>
        </w:tc>
        <w:tc>
          <w:tcPr>
            <w:tcW w:w="50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已完成</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15"/>
        </w:trPr>
        <w:tc>
          <w:tcPr>
            <w:tcW w:w="27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38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52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社会成本指标</w:t>
            </w:r>
          </w:p>
        </w:tc>
        <w:tc>
          <w:tcPr>
            <w:tcW w:w="836"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22"/>
                <w:szCs w:val="22"/>
              </w:rPr>
            </w:pPr>
            <w:r>
              <w:rPr>
                <w:rFonts w:ascii="宋体" w:hAnsi="宋体" w:cs="宋体" w:hint="eastAsia"/>
                <w:color w:val="000000"/>
                <w:kern w:val="0"/>
                <w:sz w:val="22"/>
                <w:szCs w:val="22"/>
              </w:rPr>
              <w:t>指标1：</w:t>
            </w:r>
          </w:p>
        </w:tc>
        <w:tc>
          <w:tcPr>
            <w:tcW w:w="70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0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15"/>
        </w:trPr>
        <w:tc>
          <w:tcPr>
            <w:tcW w:w="27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38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52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生态环境成本指标</w:t>
            </w:r>
          </w:p>
        </w:tc>
        <w:tc>
          <w:tcPr>
            <w:tcW w:w="836"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22"/>
                <w:szCs w:val="22"/>
              </w:rPr>
            </w:pPr>
            <w:r>
              <w:rPr>
                <w:rFonts w:ascii="宋体" w:hAnsi="宋体" w:cs="宋体" w:hint="eastAsia"/>
                <w:color w:val="000000"/>
                <w:kern w:val="0"/>
                <w:sz w:val="22"/>
                <w:szCs w:val="22"/>
              </w:rPr>
              <w:t>指标1：</w:t>
            </w:r>
          </w:p>
        </w:tc>
        <w:tc>
          <w:tcPr>
            <w:tcW w:w="70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0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15"/>
        </w:trPr>
        <w:tc>
          <w:tcPr>
            <w:tcW w:w="27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384"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效益指标（30分）</w:t>
            </w:r>
          </w:p>
        </w:tc>
        <w:tc>
          <w:tcPr>
            <w:tcW w:w="529"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经济效益指标</w:t>
            </w:r>
          </w:p>
        </w:tc>
        <w:tc>
          <w:tcPr>
            <w:tcW w:w="836"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22"/>
                <w:szCs w:val="22"/>
              </w:rPr>
            </w:pPr>
            <w:r>
              <w:rPr>
                <w:rFonts w:ascii="宋体" w:hAnsi="宋体" w:cs="宋体" w:hint="eastAsia"/>
                <w:color w:val="000000"/>
                <w:kern w:val="0"/>
                <w:sz w:val="22"/>
                <w:szCs w:val="22"/>
              </w:rPr>
              <w:t>指标1：</w:t>
            </w:r>
          </w:p>
        </w:tc>
        <w:tc>
          <w:tcPr>
            <w:tcW w:w="70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0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15"/>
        </w:trPr>
        <w:tc>
          <w:tcPr>
            <w:tcW w:w="27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38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529"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社会效益指标</w:t>
            </w:r>
          </w:p>
        </w:tc>
        <w:tc>
          <w:tcPr>
            <w:tcW w:w="836"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22"/>
                <w:szCs w:val="22"/>
              </w:rPr>
            </w:pPr>
            <w:r>
              <w:rPr>
                <w:rFonts w:ascii="宋体" w:hAnsi="宋体" w:cs="宋体" w:hint="eastAsia"/>
                <w:color w:val="000000"/>
                <w:kern w:val="0"/>
                <w:sz w:val="22"/>
                <w:szCs w:val="22"/>
              </w:rPr>
              <w:t>解决社会就业问题</w:t>
            </w:r>
          </w:p>
        </w:tc>
        <w:tc>
          <w:tcPr>
            <w:tcW w:w="70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是否解决</w:t>
            </w:r>
          </w:p>
        </w:tc>
        <w:tc>
          <w:tcPr>
            <w:tcW w:w="50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已完成</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20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20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15"/>
        </w:trPr>
        <w:tc>
          <w:tcPr>
            <w:tcW w:w="27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38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529"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生态效益指标</w:t>
            </w:r>
          </w:p>
        </w:tc>
        <w:tc>
          <w:tcPr>
            <w:tcW w:w="836"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22"/>
                <w:szCs w:val="22"/>
              </w:rPr>
            </w:pPr>
            <w:r>
              <w:rPr>
                <w:rFonts w:ascii="宋体" w:hAnsi="宋体" w:cs="宋体" w:hint="eastAsia"/>
                <w:color w:val="000000"/>
                <w:kern w:val="0"/>
                <w:sz w:val="22"/>
                <w:szCs w:val="22"/>
              </w:rPr>
              <w:t>指标1：</w:t>
            </w:r>
          </w:p>
        </w:tc>
        <w:tc>
          <w:tcPr>
            <w:tcW w:w="70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0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420"/>
        </w:trPr>
        <w:tc>
          <w:tcPr>
            <w:tcW w:w="27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38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529" w:type="pc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可持续影响指标</w:t>
            </w:r>
          </w:p>
        </w:tc>
        <w:tc>
          <w:tcPr>
            <w:tcW w:w="836"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22"/>
                <w:szCs w:val="22"/>
              </w:rPr>
            </w:pPr>
            <w:r>
              <w:rPr>
                <w:rFonts w:ascii="宋体" w:hAnsi="宋体" w:cs="宋体" w:hint="eastAsia"/>
                <w:color w:val="000000"/>
                <w:kern w:val="0"/>
                <w:sz w:val="22"/>
                <w:szCs w:val="22"/>
              </w:rPr>
              <w:t>持续发挥作用的期限</w:t>
            </w:r>
          </w:p>
        </w:tc>
        <w:tc>
          <w:tcPr>
            <w:tcW w:w="70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1年</w:t>
            </w:r>
          </w:p>
        </w:tc>
        <w:tc>
          <w:tcPr>
            <w:tcW w:w="50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已完成</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15"/>
        </w:trPr>
        <w:tc>
          <w:tcPr>
            <w:tcW w:w="27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384"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满意度指标（10分）</w:t>
            </w:r>
          </w:p>
        </w:tc>
        <w:tc>
          <w:tcPr>
            <w:tcW w:w="529" w:type="pct"/>
            <w:vMerge w:val="restart"/>
            <w:tcBorders>
              <w:top w:val="nil"/>
              <w:left w:val="single" w:sz="4" w:space="0" w:color="auto"/>
              <w:bottom w:val="single" w:sz="4" w:space="0" w:color="000000"/>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服务对象满意度指标</w:t>
            </w:r>
          </w:p>
        </w:tc>
        <w:tc>
          <w:tcPr>
            <w:tcW w:w="836"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22"/>
                <w:szCs w:val="22"/>
              </w:rPr>
            </w:pPr>
            <w:r>
              <w:rPr>
                <w:rFonts w:ascii="宋体" w:hAnsi="宋体" w:cs="宋体" w:hint="eastAsia"/>
                <w:color w:val="000000"/>
                <w:kern w:val="0"/>
                <w:sz w:val="22"/>
                <w:szCs w:val="22"/>
              </w:rPr>
              <w:t>学校对临时辅助用工人员的满意度</w:t>
            </w:r>
          </w:p>
        </w:tc>
        <w:tc>
          <w:tcPr>
            <w:tcW w:w="70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Arial"/>
                <w:color w:val="000000"/>
                <w:kern w:val="0"/>
                <w:sz w:val="22"/>
                <w:szCs w:val="22"/>
              </w:rPr>
            </w:pPr>
            <w:r>
              <w:rPr>
                <w:rFonts w:ascii="宋体" w:hAnsi="宋体" w:cs="Arial"/>
                <w:color w:val="000000"/>
                <w:kern w:val="0"/>
                <w:sz w:val="22"/>
                <w:szCs w:val="22"/>
              </w:rPr>
              <w:t>≥</w:t>
            </w:r>
            <w:r>
              <w:rPr>
                <w:rFonts w:ascii="宋体" w:hAnsi="宋体" w:cs="Arial" w:hint="eastAsia"/>
                <w:color w:val="000000"/>
                <w:kern w:val="0"/>
                <w:sz w:val="22"/>
                <w:szCs w:val="22"/>
              </w:rPr>
              <w:t>95%</w:t>
            </w:r>
          </w:p>
        </w:tc>
        <w:tc>
          <w:tcPr>
            <w:tcW w:w="50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已完成</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15"/>
        </w:trPr>
        <w:tc>
          <w:tcPr>
            <w:tcW w:w="27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38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529"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836"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22"/>
                <w:szCs w:val="22"/>
              </w:rPr>
            </w:pPr>
            <w:r>
              <w:rPr>
                <w:rFonts w:ascii="宋体" w:hAnsi="宋体" w:cs="宋体" w:hint="eastAsia"/>
                <w:color w:val="000000"/>
                <w:kern w:val="0"/>
                <w:sz w:val="22"/>
                <w:szCs w:val="22"/>
              </w:rPr>
              <w:t>指标2：</w:t>
            </w:r>
          </w:p>
        </w:tc>
        <w:tc>
          <w:tcPr>
            <w:tcW w:w="70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0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15"/>
        </w:trPr>
        <w:tc>
          <w:tcPr>
            <w:tcW w:w="27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384"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529" w:type="pct"/>
            <w:vMerge/>
            <w:tcBorders>
              <w:top w:val="nil"/>
              <w:left w:val="single" w:sz="4" w:space="0" w:color="auto"/>
              <w:bottom w:val="single" w:sz="4" w:space="0" w:color="000000"/>
              <w:right w:val="single" w:sz="4" w:space="0" w:color="auto"/>
            </w:tcBorders>
            <w:vAlign w:val="center"/>
          </w:tcPr>
          <w:p w:rsidR="00351394" w:rsidRDefault="00351394" w:rsidP="003278A3">
            <w:pPr>
              <w:widowControl/>
              <w:jc w:val="left"/>
              <w:rPr>
                <w:rFonts w:ascii="宋体" w:hAnsi="宋体" w:cs="宋体"/>
                <w:color w:val="000000"/>
                <w:kern w:val="0"/>
                <w:sz w:val="22"/>
                <w:szCs w:val="22"/>
              </w:rPr>
            </w:pPr>
          </w:p>
        </w:tc>
        <w:tc>
          <w:tcPr>
            <w:tcW w:w="836" w:type="pct"/>
            <w:gridSpan w:val="3"/>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left"/>
              <w:rPr>
                <w:rFonts w:ascii="宋体" w:hAnsi="宋体" w:cs="宋体"/>
                <w:color w:val="000000"/>
                <w:kern w:val="0"/>
                <w:sz w:val="22"/>
                <w:szCs w:val="22"/>
              </w:rPr>
            </w:pPr>
            <w:r>
              <w:rPr>
                <w:rFonts w:ascii="宋体" w:hAnsi="宋体" w:cs="宋体" w:hint="eastAsia"/>
                <w:color w:val="000000"/>
                <w:kern w:val="0"/>
                <w:sz w:val="22"/>
                <w:szCs w:val="22"/>
              </w:rPr>
              <w:t>……</w:t>
            </w:r>
          </w:p>
        </w:tc>
        <w:tc>
          <w:tcPr>
            <w:tcW w:w="709"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02" w:type="pct"/>
            <w:tcBorders>
              <w:top w:val="nil"/>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51394" w:rsidTr="003278A3">
        <w:trPr>
          <w:trHeight w:val="315"/>
        </w:trPr>
        <w:tc>
          <w:tcPr>
            <w:tcW w:w="323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总分</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351394" w:rsidRDefault="00351394" w:rsidP="003278A3">
            <w:pPr>
              <w:widowControl/>
              <w:jc w:val="center"/>
              <w:rPr>
                <w:rFonts w:ascii="宋体" w:hAnsi="宋体" w:cs="宋体"/>
                <w:color w:val="000000"/>
                <w:kern w:val="0"/>
                <w:sz w:val="22"/>
                <w:szCs w:val="22"/>
              </w:rPr>
            </w:pPr>
            <w:r>
              <w:rPr>
                <w:rFonts w:ascii="宋体" w:hAnsi="宋体" w:cs="宋体" w:hint="eastAsia"/>
                <w:color w:val="000000"/>
                <w:kern w:val="0"/>
                <w:sz w:val="22"/>
                <w:szCs w:val="22"/>
              </w:rPr>
              <w:t>100</w:t>
            </w:r>
          </w:p>
        </w:tc>
        <w:tc>
          <w:tcPr>
            <w:tcW w:w="738" w:type="pct"/>
            <w:gridSpan w:val="2"/>
            <w:tcBorders>
              <w:top w:val="single" w:sz="4" w:space="0" w:color="auto"/>
              <w:left w:val="nil"/>
              <w:bottom w:val="single" w:sz="4" w:space="0" w:color="auto"/>
              <w:right w:val="single" w:sz="4" w:space="0" w:color="auto"/>
            </w:tcBorders>
            <w:shd w:val="clear" w:color="auto" w:fill="auto"/>
            <w:noWrap/>
            <w:vAlign w:val="center"/>
          </w:tcPr>
          <w:p w:rsidR="00351394" w:rsidRDefault="00351394" w:rsidP="003278A3">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bl>
    <w:p w:rsidR="00351394" w:rsidRDefault="00351394"/>
    <w:sectPr w:rsidR="0035139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394"/>
    <w:rsid w:val="00351394"/>
    <w:rsid w:val="004F642E"/>
    <w:rsid w:val="00723C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A15B0"/>
  <w15:chartTrackingRefBased/>
  <w15:docId w15:val="{39BCF241-AFE0-4962-99C7-C748E7A82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139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803</Words>
  <Characters>4578</Characters>
  <Application>Microsoft Office Word</Application>
  <DocSecurity>0</DocSecurity>
  <Lines>38</Lines>
  <Paragraphs>10</Paragraphs>
  <ScaleCrop>false</ScaleCrop>
  <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DXJW</dc:creator>
  <cp:keywords/>
  <dc:description/>
  <cp:lastModifiedBy>DXJW</cp:lastModifiedBy>
  <cp:revision>2</cp:revision>
  <dcterms:created xsi:type="dcterms:W3CDTF">2025-09-24T07:20:00Z</dcterms:created>
  <dcterms:modified xsi:type="dcterms:W3CDTF">2025-09-26T03:23:00Z</dcterms:modified>
</cp:coreProperties>
</file>