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（一）本单位职责：</w:t>
      </w:r>
    </w:p>
    <w:p>
      <w:pPr>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 xml:space="preserve"> 协助机关对教育系统各单位的办学方向、管理水平、教育质量开展督导监测评估等工作；协助机关对本区义务教育投入保障、均衡发展状况及教育资源利用情况实施督导；协助机关对辖区内民办学校（幼儿园）、区内培训机构开展安全监督、检查、管理工作；负责督导民办学校（幼儿园）国有固定资产管理和专项资金使用，负责民办学校（幼儿园）校长、教师的业务培训以及教育教学质量提升等工作；负责组织督学培训进修，开展教育督导的科学研究；负责学前督导检查相关工作。</w:t>
      </w:r>
    </w:p>
    <w:p>
      <w:pPr>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（二）机构设置情况：</w:t>
      </w:r>
    </w:p>
    <w:p>
      <w:pPr>
        <w:spacing w:line="580" w:lineRule="exact"/>
        <w:ind w:firstLine="560" w:firstLineChars="200"/>
      </w:pPr>
      <w:r>
        <w:rPr>
          <w:rFonts w:hint="eastAsia" w:ascii="仿宋_GB2312" w:eastAsia="仿宋_GB2312"/>
          <w:kern w:val="0"/>
          <w:sz w:val="28"/>
          <w:szCs w:val="28"/>
        </w:rPr>
        <w:t xml:space="preserve">   内设机构：包括财务室、行政办公室、党务、后勤部门、民办服务、督导办公室等6个部门。</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ind w:firstLine="560" w:firstLineChars="20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1598.03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136.91</w:t>
      </w:r>
      <w:r>
        <w:rPr>
          <w:rFonts w:hint="eastAsia" w:ascii="仿宋_GB2312" w:eastAsia="仿宋_GB2312"/>
          <w:sz w:val="28"/>
          <w:szCs w:val="28"/>
        </w:rPr>
        <w:t>万元，下降7</w:t>
      </w:r>
      <w:r>
        <w:rPr>
          <w:rFonts w:ascii="仿宋_GB2312" w:eastAsia="仿宋_GB2312"/>
          <w:sz w:val="28"/>
          <w:szCs w:val="28"/>
        </w:rPr>
        <w:t>.89</w:t>
      </w:r>
      <w:r>
        <w:rPr>
          <w:rFonts w:hint="eastAsia" w:ascii="仿宋_GB2312" w:eastAsia="仿宋_GB2312"/>
          <w:sz w:val="28"/>
          <w:szCs w:val="28"/>
        </w:rPr>
        <w:t>%。主要原因：人员调出和退休；因督导工作项目内容调整，预算金额减少。</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1478.18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177.38</w:t>
      </w:r>
      <w:r>
        <w:rPr>
          <w:rFonts w:hint="eastAsia" w:ascii="仿宋_GB2312" w:eastAsia="仿宋_GB2312"/>
          <w:sz w:val="28"/>
          <w:szCs w:val="28"/>
        </w:rPr>
        <w:t>万元，下降</w:t>
      </w:r>
      <w:r>
        <w:rPr>
          <w:rFonts w:ascii="仿宋_GB2312" w:eastAsia="仿宋_GB2312"/>
          <w:sz w:val="28"/>
          <w:szCs w:val="28"/>
        </w:rPr>
        <w:t>10.71</w:t>
      </w:r>
      <w:r>
        <w:rPr>
          <w:rFonts w:hint="eastAsia" w:ascii="仿宋_GB2312" w:eastAsia="仿宋_GB2312"/>
          <w:sz w:val="28"/>
          <w:szCs w:val="28"/>
        </w:rPr>
        <w:t>%。主要原因：人员调出和退休；因督导工作项目内容调整，预算金额减少。</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1478.18</w:t>
      </w:r>
      <w:r>
        <w:rPr>
          <w:rFonts w:hint="eastAsia" w:ascii="仿宋_GB2312" w:eastAsia="仿宋_GB2312"/>
          <w:sz w:val="28"/>
          <w:szCs w:val="28"/>
        </w:rPr>
        <w:t>万元，占收入合计的100%。其中：一般公共预算财政拨款收入</w:t>
      </w:r>
      <w:r>
        <w:rPr>
          <w:rFonts w:ascii="仿宋_GB2312" w:eastAsia="仿宋_GB2312"/>
          <w:sz w:val="28"/>
          <w:szCs w:val="28"/>
        </w:rPr>
        <w:t>1478.18</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1598.03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136.91</w:t>
      </w:r>
      <w:r>
        <w:rPr>
          <w:rFonts w:hint="eastAsia" w:ascii="仿宋_GB2312" w:eastAsia="仿宋_GB2312"/>
          <w:sz w:val="28"/>
          <w:szCs w:val="28"/>
        </w:rPr>
        <w:t>万元，下降7</w:t>
      </w:r>
      <w:r>
        <w:rPr>
          <w:rFonts w:ascii="仿宋_GB2312" w:eastAsia="仿宋_GB2312"/>
          <w:sz w:val="28"/>
          <w:szCs w:val="28"/>
        </w:rPr>
        <w:t>.89</w:t>
      </w:r>
      <w:r>
        <w:rPr>
          <w:rFonts w:hint="eastAsia" w:ascii="仿宋_GB2312" w:eastAsia="仿宋_GB2312"/>
          <w:sz w:val="28"/>
          <w:szCs w:val="28"/>
        </w:rPr>
        <w:t>%，其中：基本支出</w:t>
      </w:r>
      <w:r>
        <w:rPr>
          <w:rFonts w:ascii="仿宋_GB2312" w:eastAsia="仿宋_GB2312"/>
          <w:sz w:val="28"/>
          <w:szCs w:val="28"/>
        </w:rPr>
        <w:t>1536.7</w:t>
      </w:r>
      <w:r>
        <w:rPr>
          <w:rFonts w:hint="eastAsia" w:ascii="仿宋_GB2312" w:eastAsia="仿宋_GB2312"/>
          <w:sz w:val="28"/>
          <w:szCs w:val="28"/>
        </w:rPr>
        <w:t>2万元，占支出合计的96.16%；项目支出</w:t>
      </w:r>
      <w:r>
        <w:rPr>
          <w:rFonts w:ascii="仿宋_GB2312" w:eastAsia="仿宋_GB2312"/>
          <w:sz w:val="28"/>
          <w:szCs w:val="28"/>
        </w:rPr>
        <w:t>61.3</w:t>
      </w:r>
      <w:r>
        <w:rPr>
          <w:rFonts w:hint="eastAsia" w:ascii="仿宋_GB2312" w:eastAsia="仿宋_GB2312"/>
          <w:sz w:val="28"/>
          <w:szCs w:val="28"/>
        </w:rPr>
        <w:t>万元，占支出合计的3.84%;上缴上级支出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1598.03</w:t>
      </w:r>
      <w:r>
        <w:rPr>
          <w:rFonts w:hint="eastAsia" w:ascii="仿宋_GB2312" w:eastAsia="仿宋_GB2312"/>
          <w:sz w:val="28"/>
          <w:szCs w:val="28"/>
        </w:rPr>
        <w:t>万元，比上年减少</w:t>
      </w:r>
      <w:r>
        <w:rPr>
          <w:rFonts w:ascii="仿宋_GB2312" w:eastAsia="仿宋_GB2312"/>
          <w:sz w:val="28"/>
          <w:szCs w:val="28"/>
        </w:rPr>
        <w:t>136.91</w:t>
      </w:r>
      <w:r>
        <w:rPr>
          <w:rFonts w:hint="eastAsia" w:ascii="仿宋_GB2312" w:eastAsia="仿宋_GB2312"/>
          <w:sz w:val="28"/>
          <w:szCs w:val="28"/>
        </w:rPr>
        <w:t>万元，下降7</w:t>
      </w:r>
      <w:r>
        <w:rPr>
          <w:rFonts w:ascii="仿宋_GB2312" w:eastAsia="仿宋_GB2312"/>
          <w:sz w:val="28"/>
          <w:szCs w:val="28"/>
        </w:rPr>
        <w:t>.89</w:t>
      </w:r>
      <w:r>
        <w:rPr>
          <w:rFonts w:hint="eastAsia" w:ascii="仿宋_GB2312" w:eastAsia="仿宋_GB2312"/>
          <w:sz w:val="28"/>
          <w:szCs w:val="28"/>
        </w:rPr>
        <w:t>%。主要原因：人员调出和退休；因督导工作项目内容调整，预算金额减少。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1598.03</w:t>
      </w:r>
      <w:r>
        <w:rPr>
          <w:rFonts w:hint="eastAsia" w:ascii="仿宋_GB2312" w:eastAsia="仿宋_GB2312"/>
          <w:sz w:val="28"/>
          <w:szCs w:val="28"/>
        </w:rPr>
        <w:t>万元，主要用于以下方面：教育支出</w:t>
      </w:r>
      <w:r>
        <w:rPr>
          <w:rFonts w:ascii="仿宋_GB2312" w:eastAsia="仿宋_GB2312"/>
          <w:sz w:val="28"/>
          <w:szCs w:val="28"/>
        </w:rPr>
        <w:t>1142.7</w:t>
      </w:r>
      <w:r>
        <w:rPr>
          <w:rFonts w:hint="eastAsia" w:ascii="仿宋_GB2312" w:eastAsia="仿宋_GB2312"/>
          <w:sz w:val="28"/>
          <w:szCs w:val="28"/>
        </w:rPr>
        <w:t>8万元，占本年财政拨款支出</w:t>
      </w:r>
      <w:r>
        <w:rPr>
          <w:rFonts w:ascii="仿宋_GB2312" w:eastAsia="仿宋_GB2312"/>
          <w:sz w:val="28"/>
          <w:szCs w:val="28"/>
        </w:rPr>
        <w:t>71.51</w:t>
      </w:r>
      <w:r>
        <w:rPr>
          <w:rFonts w:hint="eastAsia" w:ascii="仿宋_GB2312" w:eastAsia="仿宋_GB2312"/>
          <w:sz w:val="28"/>
          <w:szCs w:val="28"/>
        </w:rPr>
        <w:t>%；社会保障和就业支出</w:t>
      </w:r>
      <w:r>
        <w:rPr>
          <w:rFonts w:ascii="仿宋_GB2312" w:eastAsia="仿宋_GB2312"/>
          <w:sz w:val="28"/>
          <w:szCs w:val="28"/>
        </w:rPr>
        <w:t>217.08</w:t>
      </w:r>
      <w:r>
        <w:rPr>
          <w:rFonts w:hint="eastAsia" w:ascii="仿宋_GB2312" w:eastAsia="仿宋_GB2312"/>
          <w:sz w:val="28"/>
          <w:szCs w:val="28"/>
        </w:rPr>
        <w:t>万元，占本年财政拨款支出</w:t>
      </w:r>
      <w:r>
        <w:rPr>
          <w:rFonts w:ascii="仿宋_GB2312" w:eastAsia="仿宋_GB2312"/>
          <w:sz w:val="28"/>
          <w:szCs w:val="28"/>
        </w:rPr>
        <w:t>13.59</w:t>
      </w:r>
      <w:r>
        <w:rPr>
          <w:rFonts w:hint="eastAsia" w:ascii="仿宋_GB2312" w:eastAsia="仿宋_GB2312"/>
          <w:sz w:val="28"/>
          <w:szCs w:val="28"/>
        </w:rPr>
        <w:t>%；卫生健康支出</w:t>
      </w:r>
      <w:r>
        <w:rPr>
          <w:rFonts w:ascii="仿宋_GB2312" w:eastAsia="仿宋_GB2312"/>
          <w:sz w:val="28"/>
          <w:szCs w:val="28"/>
        </w:rPr>
        <w:t>118.32</w:t>
      </w:r>
      <w:r>
        <w:rPr>
          <w:rFonts w:hint="eastAsia" w:ascii="仿宋_GB2312" w:eastAsia="仿宋_GB2312"/>
          <w:sz w:val="28"/>
          <w:szCs w:val="28"/>
        </w:rPr>
        <w:t>万元，占本年财政拨款支出</w:t>
      </w:r>
      <w:r>
        <w:rPr>
          <w:rFonts w:ascii="仿宋_GB2312" w:eastAsia="仿宋_GB2312"/>
          <w:sz w:val="28"/>
          <w:szCs w:val="28"/>
        </w:rPr>
        <w:t>7.4</w:t>
      </w:r>
      <w:r>
        <w:rPr>
          <w:rFonts w:hint="eastAsia" w:ascii="仿宋_GB2312" w:eastAsia="仿宋_GB2312"/>
          <w:sz w:val="28"/>
          <w:szCs w:val="28"/>
        </w:rPr>
        <w:t>%；住房保障支出</w:t>
      </w:r>
      <w:r>
        <w:rPr>
          <w:rFonts w:ascii="仿宋_GB2312" w:eastAsia="仿宋_GB2312"/>
          <w:sz w:val="28"/>
          <w:szCs w:val="28"/>
        </w:rPr>
        <w:t>119.84</w:t>
      </w:r>
      <w:r>
        <w:rPr>
          <w:rFonts w:hint="eastAsia" w:ascii="仿宋_GB2312" w:eastAsia="仿宋_GB2312"/>
          <w:sz w:val="28"/>
          <w:szCs w:val="28"/>
        </w:rPr>
        <w:t>万元，占本年财政拨款支出</w:t>
      </w:r>
      <w:r>
        <w:rPr>
          <w:rFonts w:ascii="仿宋_GB2312" w:eastAsia="仿宋_GB2312"/>
          <w:sz w:val="28"/>
          <w:szCs w:val="28"/>
        </w:rPr>
        <w:t>7.5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1236.39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1142.78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“其他教育支出”202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1236.39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1142.78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主要原因：人员调出和退休及项目预算金额减少。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164.86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217.08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131.68</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164.86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217.08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131.68</w:t>
      </w:r>
      <w:r>
        <w:rPr>
          <w:rFonts w:hint="eastAsia" w:ascii="仿宋_GB2312" w:eastAsia="仿宋_GB2312"/>
          <w:sz w:val="28"/>
          <w:szCs w:val="28"/>
        </w:rPr>
        <w:t>%。主要原因：社保基数调整。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 xml:space="preserve"> “卫生健康支出”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117.44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100.75</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117.44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118.32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100.75</w:t>
      </w:r>
      <w:r>
        <w:rPr>
          <w:rFonts w:hint="eastAsia" w:ascii="仿宋_GB2312" w:eastAsia="仿宋_GB2312"/>
          <w:sz w:val="28"/>
          <w:szCs w:val="28"/>
        </w:rPr>
        <w:t>%。主要原因：社保基数调整。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 xml:space="preserve"> “住房保障支出”202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“住房改革支出”2024年度决算</w:t>
      </w:r>
      <w:r>
        <w:rPr>
          <w:rFonts w:ascii="仿宋_GB2312" w:eastAsia="仿宋_GB2312"/>
          <w:sz w:val="28"/>
          <w:szCs w:val="28"/>
        </w:rPr>
        <w:t>119.84</w:t>
      </w:r>
      <w:r>
        <w:rPr>
          <w:rFonts w:hint="eastAsia" w:ascii="仿宋_GB2312" w:eastAsia="仿宋_GB2312"/>
          <w:sz w:val="28"/>
          <w:szCs w:val="28"/>
        </w:rPr>
        <w:t>万元，比2024年度年初预算增加</w:t>
      </w:r>
      <w:r>
        <w:rPr>
          <w:rFonts w:ascii="仿宋_GB2312" w:eastAsia="仿宋_GB2312"/>
          <w:sz w:val="28"/>
          <w:szCs w:val="28"/>
        </w:rPr>
        <w:t>119.84</w:t>
      </w:r>
      <w:r>
        <w:rPr>
          <w:rFonts w:hint="eastAsia" w:ascii="仿宋_GB2312" w:eastAsia="仿宋_GB2312"/>
          <w:sz w:val="28"/>
          <w:szCs w:val="28"/>
        </w:rPr>
        <w:t>万元，增长1</w:t>
      </w:r>
      <w:r>
        <w:rPr>
          <w:rFonts w:ascii="仿宋_GB2312" w:eastAsia="仿宋_GB2312"/>
          <w:sz w:val="28"/>
          <w:szCs w:val="28"/>
        </w:rPr>
        <w:t>00</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ascii="仿宋_GB2312" w:eastAsia="仿宋_GB2312"/>
          <w:sz w:val="28"/>
          <w:szCs w:val="28"/>
        </w:rPr>
        <w:t>2024</w:t>
      </w:r>
      <w:r>
        <w:rPr>
          <w:rFonts w:hint="eastAsia" w:ascii="仿宋_GB2312" w:eastAsia="仿宋_GB2312"/>
          <w:sz w:val="28"/>
          <w:szCs w:val="28"/>
        </w:rPr>
        <w:t>年发放的住房补贴第三批补发。</w:t>
      </w:r>
      <w:bookmarkStart w:id="0" w:name="_GoBack"/>
      <w:bookmarkEnd w:id="0"/>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本单位2024年度无国有资本经营预算财政拨款</w:t>
      </w:r>
      <w:r>
        <w:rPr>
          <w:rFonts w:hint="eastAsia" w:ascii="仿宋_GB2312" w:eastAsia="仿宋_GB2312"/>
          <w:sz w:val="28"/>
          <w:szCs w:val="28"/>
        </w:rPr>
        <w:t>安排的支出。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ind w:firstLine="560" w:firstLineChars="200"/>
        <w:rPr>
          <w:rFonts w:ascii="仿宋_GB2312" w:eastAsia="仿宋_GB2312"/>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1536.72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机关事业单位养老保险缴费、职业年金缴费、职工基本医疗保险缴费、公务员医疗补助缴费、其他社会保障缴费、住房公积金。（2）商品和服务支出包括</w:t>
      </w:r>
      <w:r>
        <w:rPr>
          <w:rFonts w:ascii="仿宋_GB2312" w:eastAsia="仿宋_GB2312"/>
          <w:sz w:val="28"/>
          <w:szCs w:val="28"/>
        </w:rPr>
        <w:t>办公费、印刷费、咨询费、手续费、水费、电费、维修（护）费、培训费、专用材料费、劳务费、委托业务费、工会经费、福利费、公务用车运行维护费、其他交通费、其他商品和服务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ind w:firstLine="560" w:firstLineChars="200"/>
        <w:rPr>
          <w:rFonts w:ascii="仿宋_GB2312" w:eastAsia="仿宋_GB2312"/>
          <w:sz w:val="28"/>
          <w:szCs w:val="28"/>
        </w:rPr>
      </w:pP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2.67</w:t>
      </w:r>
      <w:r>
        <w:rPr>
          <w:rFonts w:hint="eastAsia" w:ascii="仿宋_GB2312" w:eastAsia="仿宋_GB2312"/>
          <w:sz w:val="28"/>
          <w:szCs w:val="28"/>
        </w:rPr>
        <w:t>万元，比2024年度“三公”经费财政拨款年初预算</w:t>
      </w:r>
      <w:r>
        <w:rPr>
          <w:rFonts w:ascii="仿宋_GB2312" w:eastAsia="仿宋_GB2312"/>
          <w:sz w:val="28"/>
          <w:szCs w:val="28"/>
        </w:rPr>
        <w:t>8.2</w:t>
      </w:r>
      <w:r>
        <w:rPr>
          <w:rFonts w:hint="eastAsia" w:ascii="仿宋_GB2312" w:eastAsia="仿宋_GB2312"/>
          <w:sz w:val="28"/>
          <w:szCs w:val="28"/>
        </w:rPr>
        <w:t>万元减少5</w:t>
      </w:r>
      <w:r>
        <w:rPr>
          <w:rFonts w:ascii="仿宋_GB2312" w:eastAsia="仿宋_GB2312"/>
          <w:sz w:val="28"/>
          <w:szCs w:val="28"/>
        </w:rPr>
        <w:t>.53</w:t>
      </w:r>
      <w:r>
        <w:rPr>
          <w:rFonts w:hint="eastAsia" w:ascii="仿宋_GB2312" w:eastAsia="仿宋_GB2312"/>
          <w:sz w:val="28"/>
          <w:szCs w:val="28"/>
        </w:rPr>
        <w:t>万元。其中：</w:t>
      </w:r>
    </w:p>
    <w:p>
      <w:pPr>
        <w:numPr>
          <w:ilvl w:val="0"/>
          <w:numId w:val="1"/>
        </w:numPr>
        <w:spacing w:line="560" w:lineRule="exact"/>
        <w:ind w:firstLine="600"/>
        <w:rPr>
          <w:rFonts w:ascii="仿宋_GB2312" w:eastAsia="仿宋_GB2312"/>
          <w:sz w:val="28"/>
          <w:szCs w:val="28"/>
        </w:rPr>
      </w:pPr>
      <w:r>
        <w:rPr>
          <w:rFonts w:hint="eastAsia" w:ascii="仿宋_GB2312" w:eastAsia="仿宋_GB2312"/>
          <w:sz w:val="28"/>
          <w:szCs w:val="28"/>
        </w:rPr>
        <w:t>因公出国（境）费用。2024年度决算数0万元，与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方面，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2.公务接待费。2024年度决算数0万元，比2024年度年初预算数0.1万元减少0.1万元。主要原因：本年度无公务接待支出。2024年度公务接待费主要用于公务接待事项。公务接待0批次，公务接待0人次。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2.67</w:t>
      </w:r>
      <w:r>
        <w:rPr>
          <w:rFonts w:hint="eastAsia" w:ascii="仿宋_GB2312" w:eastAsia="仿宋_GB2312"/>
          <w:sz w:val="28"/>
          <w:szCs w:val="28"/>
        </w:rPr>
        <w:t>万元，比2024年度年初预算数</w:t>
      </w:r>
      <w:r>
        <w:rPr>
          <w:rFonts w:ascii="仿宋_GB2312" w:eastAsia="仿宋_GB2312"/>
          <w:sz w:val="28"/>
          <w:szCs w:val="28"/>
        </w:rPr>
        <w:t>8.1</w:t>
      </w:r>
      <w:r>
        <w:rPr>
          <w:rFonts w:hint="eastAsia" w:ascii="仿宋_GB2312" w:eastAsia="仿宋_GB2312"/>
          <w:sz w:val="28"/>
          <w:szCs w:val="28"/>
        </w:rPr>
        <w:t>万元减少5</w:t>
      </w:r>
      <w:r>
        <w:rPr>
          <w:rFonts w:ascii="仿宋_GB2312" w:eastAsia="仿宋_GB2312"/>
          <w:sz w:val="28"/>
          <w:szCs w:val="28"/>
        </w:rPr>
        <w:t>.</w:t>
      </w:r>
      <w:r>
        <w:rPr>
          <w:rFonts w:hint="eastAsia" w:ascii="仿宋_GB2312" w:eastAsia="仿宋_GB2312"/>
          <w:sz w:val="28"/>
          <w:szCs w:val="28"/>
        </w:rPr>
        <w:t>4</w:t>
      </w:r>
      <w:r>
        <w:rPr>
          <w:rFonts w:ascii="仿宋_GB2312" w:eastAsia="仿宋_GB2312"/>
          <w:sz w:val="28"/>
          <w:szCs w:val="28"/>
        </w:rPr>
        <w:t>3</w:t>
      </w:r>
      <w:r>
        <w:rPr>
          <w:rFonts w:hint="eastAsia" w:ascii="仿宋_GB2312" w:eastAsia="仿宋_GB2312"/>
          <w:sz w:val="28"/>
          <w:szCs w:val="28"/>
        </w:rPr>
        <w:t>万元。其中，公务用车购置费2024年度决算数0万元，主要原因：本年度新购车辆0辆，2024年度购置（更新）0辆。公务用车运行维护费2024年度决算数2.67万元，主要原因：原因是严格落实公务用车使用规定，认真贯彻厉行节约反对浪费的有关要求，本着节俭高效的原则，进一步加强公务用车管理，减少费用支出。2024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2024年度本单位不在机关运行经费统计范围之内。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8.59</w:t>
      </w:r>
      <w:r>
        <w:rPr>
          <w:rFonts w:hint="eastAsia" w:ascii="仿宋_GB2312" w:eastAsia="仿宋_GB2312"/>
          <w:sz w:val="28"/>
          <w:szCs w:val="28"/>
        </w:rPr>
        <w:t>万元，其中：政府采购货物支出</w:t>
      </w:r>
      <w:r>
        <w:rPr>
          <w:rFonts w:ascii="仿宋_GB2312" w:eastAsia="仿宋_GB2312"/>
          <w:sz w:val="28"/>
          <w:szCs w:val="28"/>
        </w:rPr>
        <w:t>0.26</w:t>
      </w:r>
      <w:r>
        <w:rPr>
          <w:rFonts w:hint="eastAsia" w:ascii="仿宋_GB2312" w:eastAsia="仿宋_GB2312"/>
          <w:sz w:val="28"/>
          <w:szCs w:val="28"/>
        </w:rPr>
        <w:t>万元，政府采购工程支出0万元，政府采购服务支出</w:t>
      </w:r>
      <w:r>
        <w:rPr>
          <w:rFonts w:ascii="仿宋_GB2312" w:eastAsia="仿宋_GB2312"/>
          <w:sz w:val="28"/>
          <w:szCs w:val="28"/>
        </w:rPr>
        <w:t>8.33</w:t>
      </w:r>
      <w:r>
        <w:rPr>
          <w:rFonts w:hint="eastAsia" w:ascii="仿宋_GB2312" w:eastAsia="仿宋_GB2312"/>
          <w:sz w:val="28"/>
          <w:szCs w:val="28"/>
        </w:rPr>
        <w:t>万元。授予中小企业合同金额</w:t>
      </w:r>
      <w:r>
        <w:rPr>
          <w:rFonts w:ascii="仿宋_GB2312" w:eastAsia="仿宋_GB2312"/>
          <w:sz w:val="28"/>
          <w:szCs w:val="28"/>
        </w:rPr>
        <w:t>7.66</w:t>
      </w:r>
      <w:r>
        <w:rPr>
          <w:rFonts w:hint="eastAsia" w:ascii="仿宋_GB2312" w:eastAsia="仿宋_GB2312"/>
          <w:sz w:val="28"/>
          <w:szCs w:val="28"/>
        </w:rPr>
        <w:t>万元，占政府采购支出总额的89.17%，其中：授予小微企业合同金额</w:t>
      </w:r>
      <w:r>
        <w:rPr>
          <w:rFonts w:ascii="仿宋_GB2312" w:eastAsia="仿宋_GB2312"/>
          <w:sz w:val="28"/>
          <w:szCs w:val="28"/>
        </w:rPr>
        <w:t>7.66</w:t>
      </w:r>
      <w:r>
        <w:rPr>
          <w:rFonts w:hint="eastAsia" w:ascii="仿宋_GB2312" w:eastAsia="仿宋_GB2312"/>
          <w:sz w:val="28"/>
          <w:szCs w:val="28"/>
        </w:rPr>
        <w:t>万元，占政府采购支出总额的</w:t>
      </w:r>
      <w:r>
        <w:rPr>
          <w:rFonts w:ascii="仿宋_GB2312" w:eastAsia="仿宋_GB2312"/>
          <w:sz w:val="28"/>
          <w:szCs w:val="28"/>
        </w:rPr>
        <w:t>89.</w:t>
      </w:r>
      <w:r>
        <w:rPr>
          <w:rFonts w:hint="eastAsia" w:ascii="仿宋_GB2312" w:eastAsia="仿宋_GB2312"/>
          <w:sz w:val="28"/>
          <w:szCs w:val="28"/>
        </w:rPr>
        <w:t>17%。</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截至12月31日，北京市大兴区教育综合督导评价中心共有车辆3台；单位价值100万元（含）以上的设备0台（套）。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7.教育支出（类）其他教育支出（款）其他教育支出（项）：反映除上述项目以外其他用于教育方面的支出。</w:t>
      </w:r>
    </w:p>
    <w:p>
      <w:pPr>
        <w:ind w:firstLine="560" w:firstLineChars="200"/>
        <w:rPr>
          <w:rFonts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560" w:firstLineChars="200"/>
        <w:rPr>
          <w:rFonts w:ascii="仿宋_GB2312" w:eastAsia="仿宋_GB2312"/>
          <w:b/>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pPr>
        <w:ind w:firstLine="560" w:firstLineChars="200"/>
        <w:rPr>
          <w:rFonts w:ascii="仿宋_GB2312" w:eastAsia="仿宋_GB2312"/>
          <w:b/>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b/>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ind w:firstLine="560" w:firstLineChars="200"/>
        <w:rPr>
          <w:rFonts w:ascii="仿宋_GB2312" w:eastAsia="仿宋_GB2312"/>
          <w:sz w:val="28"/>
          <w:szCs w:val="28"/>
        </w:rPr>
      </w:pP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120" w:firstLineChars="1600"/>
        <w:rPr>
          <w:rFonts w:ascii="黑体" w:eastAsia="黑体"/>
          <w:sz w:val="32"/>
          <w:szCs w:val="32"/>
        </w:rPr>
      </w:pPr>
      <w:r>
        <w:rPr>
          <w:rFonts w:hint="eastAsia" w:ascii="黑体" w:eastAsia="黑体"/>
          <w:sz w:val="32"/>
          <w:szCs w:val="32"/>
        </w:rPr>
        <w:t>项目</w:t>
      </w:r>
      <w:r>
        <w:rPr>
          <w:rFonts w:ascii="黑体" w:eastAsia="黑体"/>
          <w:sz w:val="32"/>
          <w:szCs w:val="32"/>
        </w:rPr>
        <w:t>支出绩效自评表</w:t>
      </w:r>
      <w:r>
        <w:rPr>
          <w:rFonts w:hint="eastAsia" w:ascii="黑体" w:eastAsia="黑体"/>
          <w:sz w:val="32"/>
          <w:szCs w:val="32"/>
        </w:rPr>
        <w:t>（详见附件）</w:t>
      </w:r>
    </w:p>
    <w:p>
      <w:pPr>
        <w:spacing w:line="480" w:lineRule="exact"/>
        <w:ind w:firstLine="420"/>
        <w:rPr>
          <w:rFonts w:ascii="黑体" w:eastAsia="黑体"/>
          <w:sz w:val="28"/>
          <w:szCs w:val="28"/>
        </w:rPr>
      </w:pPr>
      <w:r>
        <w:rPr>
          <w:rFonts w:hint="eastAsia" w:ascii="黑体" w:eastAsia="黑体"/>
          <w:sz w:val="28"/>
          <w:szCs w:val="28"/>
        </w:rPr>
        <w:t xml:space="preserve"> </w:t>
      </w:r>
    </w:p>
    <w:p>
      <w:pPr>
        <w:spacing w:line="480" w:lineRule="exact"/>
        <w:ind w:firstLine="420"/>
        <w:rPr>
          <w:rFonts w:ascii="黑体" w:eastAsia="黑体"/>
          <w:sz w:val="28"/>
          <w:szCs w:val="28"/>
        </w:rPr>
      </w:pPr>
    </w:p>
    <w:p>
      <w:pPr>
        <w:spacing w:line="480" w:lineRule="exact"/>
        <w:ind w:firstLine="420"/>
        <w:rPr>
          <w:rFonts w:ascii="黑体" w:eastAsia="黑体"/>
          <w:sz w:val="28"/>
          <w:szCs w:val="28"/>
        </w:rPr>
      </w:pPr>
    </w:p>
    <w:p>
      <w:pPr>
        <w:spacing w:line="480" w:lineRule="exact"/>
        <w:rPr>
          <w:rFonts w:ascii="黑体" w:eastAsia="黑体"/>
          <w:sz w:val="28"/>
          <w:szCs w:val="28"/>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25793"/>
    <w:multiLevelType w:val="singleLevel"/>
    <w:tmpl w:val="F2F2579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3443"/>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3B47"/>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439D"/>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35AD"/>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6DA7"/>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6A63"/>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677A4"/>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C3743"/>
    <w:rsid w:val="02F120AB"/>
    <w:rsid w:val="032B5196"/>
    <w:rsid w:val="04AB37E2"/>
    <w:rsid w:val="04C3537C"/>
    <w:rsid w:val="079004AC"/>
    <w:rsid w:val="0B9F51B9"/>
    <w:rsid w:val="0BA148CA"/>
    <w:rsid w:val="0C1165C4"/>
    <w:rsid w:val="0C1722D9"/>
    <w:rsid w:val="0D6D544B"/>
    <w:rsid w:val="0DD136FE"/>
    <w:rsid w:val="0E385AF6"/>
    <w:rsid w:val="0F542F2C"/>
    <w:rsid w:val="0F8E2C57"/>
    <w:rsid w:val="1059665E"/>
    <w:rsid w:val="10AC13BA"/>
    <w:rsid w:val="11C47BB0"/>
    <w:rsid w:val="12542AA1"/>
    <w:rsid w:val="143516C6"/>
    <w:rsid w:val="145A6C1B"/>
    <w:rsid w:val="147B0F47"/>
    <w:rsid w:val="14B73493"/>
    <w:rsid w:val="167A2FF9"/>
    <w:rsid w:val="1764587C"/>
    <w:rsid w:val="176B6475"/>
    <w:rsid w:val="18581C69"/>
    <w:rsid w:val="19410B0E"/>
    <w:rsid w:val="1AEC0734"/>
    <w:rsid w:val="1DEF20B0"/>
    <w:rsid w:val="1FF7AB17"/>
    <w:rsid w:val="20A253E4"/>
    <w:rsid w:val="214243FA"/>
    <w:rsid w:val="21AD613C"/>
    <w:rsid w:val="221E379A"/>
    <w:rsid w:val="22467189"/>
    <w:rsid w:val="257A14F5"/>
    <w:rsid w:val="25D232E4"/>
    <w:rsid w:val="260F1419"/>
    <w:rsid w:val="27196C26"/>
    <w:rsid w:val="287B5023"/>
    <w:rsid w:val="28E60FD2"/>
    <w:rsid w:val="29EF086F"/>
    <w:rsid w:val="2ACF41CB"/>
    <w:rsid w:val="2BC34C59"/>
    <w:rsid w:val="2EFFE297"/>
    <w:rsid w:val="2F1C6E0B"/>
    <w:rsid w:val="2F560A17"/>
    <w:rsid w:val="2F9A766B"/>
    <w:rsid w:val="301437CA"/>
    <w:rsid w:val="30344E34"/>
    <w:rsid w:val="327838EC"/>
    <w:rsid w:val="349D1F0A"/>
    <w:rsid w:val="34DD0473"/>
    <w:rsid w:val="3A8E35DC"/>
    <w:rsid w:val="3B3273A1"/>
    <w:rsid w:val="3BFE3734"/>
    <w:rsid w:val="3C684897"/>
    <w:rsid w:val="40DC1C38"/>
    <w:rsid w:val="433E495C"/>
    <w:rsid w:val="488F3E82"/>
    <w:rsid w:val="489F2FD7"/>
    <w:rsid w:val="4AC27CB3"/>
    <w:rsid w:val="4AC52511"/>
    <w:rsid w:val="4BF72BEF"/>
    <w:rsid w:val="4C3752C7"/>
    <w:rsid w:val="4C6023E1"/>
    <w:rsid w:val="4FA90297"/>
    <w:rsid w:val="4FC41A43"/>
    <w:rsid w:val="4FEF7A00"/>
    <w:rsid w:val="509B48C6"/>
    <w:rsid w:val="50EC57D4"/>
    <w:rsid w:val="51DB3C59"/>
    <w:rsid w:val="550C0952"/>
    <w:rsid w:val="55762E42"/>
    <w:rsid w:val="57A7B272"/>
    <w:rsid w:val="58470068"/>
    <w:rsid w:val="58631C30"/>
    <w:rsid w:val="58747CAC"/>
    <w:rsid w:val="5A1720F9"/>
    <w:rsid w:val="5B153663"/>
    <w:rsid w:val="5B9C37C2"/>
    <w:rsid w:val="5BA7C654"/>
    <w:rsid w:val="5DF716AE"/>
    <w:rsid w:val="5F9F507E"/>
    <w:rsid w:val="60A54109"/>
    <w:rsid w:val="61D01CDF"/>
    <w:rsid w:val="62F36B46"/>
    <w:rsid w:val="63FC658A"/>
    <w:rsid w:val="64C0607C"/>
    <w:rsid w:val="65756C86"/>
    <w:rsid w:val="65F97A2D"/>
    <w:rsid w:val="674D385B"/>
    <w:rsid w:val="676F09E1"/>
    <w:rsid w:val="67811CDF"/>
    <w:rsid w:val="6D691D23"/>
    <w:rsid w:val="6D9F2AD0"/>
    <w:rsid w:val="6DDB6304"/>
    <w:rsid w:val="6EBF46A0"/>
    <w:rsid w:val="708C328A"/>
    <w:rsid w:val="71691990"/>
    <w:rsid w:val="71793A80"/>
    <w:rsid w:val="7357290B"/>
    <w:rsid w:val="748431FE"/>
    <w:rsid w:val="756E3DEA"/>
    <w:rsid w:val="764A273C"/>
    <w:rsid w:val="76FB1693"/>
    <w:rsid w:val="791F25C0"/>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1478.18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1536.72</c:v>
                </c:pt>
                <c:pt idx="1">
                  <c:v>61.3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93D158-F1F1-484A-B9C1-037BF04E5EB2}">
  <ds:schemaRefs/>
</ds:datastoreItem>
</file>

<file path=docProps/app.xml><?xml version="1.0" encoding="utf-8"?>
<Properties xmlns="http://schemas.openxmlformats.org/officeDocument/2006/extended-properties" xmlns:vt="http://schemas.openxmlformats.org/officeDocument/2006/docPropsVTypes">
  <Template>Normal</Template>
  <Pages>13</Pages>
  <Words>4017</Words>
  <Characters>4518</Characters>
  <Lines>33</Lines>
  <Paragraphs>9</Paragraphs>
  <TotalTime>1</TotalTime>
  <ScaleCrop>false</ScaleCrop>
  <LinksUpToDate>false</LinksUpToDate>
  <CharactersWithSpaces>4547</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p:lastModifiedBy>
  <cp:lastPrinted>2020-08-09T03:39:00Z</cp:lastPrinted>
  <dcterms:modified xsi:type="dcterms:W3CDTF">2025-09-29T06:43:24Z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6A8CA10611724CD2922BF974A0273AF1</vt:lpwstr>
  </property>
  <property fmtid="{D5CDD505-2E9C-101B-9397-08002B2CF9AE}" pid="4" name="KSOTemplateDocerSaveRecord">
    <vt:lpwstr>eyJoZGlkIjoiM2MxNTk3NmUwYTdkMTE1MGRkOWQ0MDc4ZWI1Nzk4NDUifQ==</vt:lpwstr>
  </property>
</Properties>
</file>