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本单位单位职责：负责所属服务片儿童幼儿园阶段保育教育工作。</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机构设置情况：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 xml:space="preserve">    内设机构：园长室、书记室、办公室、班级、财务室、保健室、会议室、安保室等。</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单位性质：全额拨款事业单位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1215.2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减少506.69万元，下降41.70%。</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1190.49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减少529.65万元，下降44.49%</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1190.49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1190.49万元，占收入合计的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mc:AlternateContent>
          <mc:Choice Requires="wps">
            <w:drawing>
              <wp:inline distT="0" distB="0" distL="114300" distR="114300">
                <wp:extent cx="4036695" cy="2328545"/>
                <wp:effectExtent l="0" t="0" r="0" b="0"/>
                <wp:docPr id="1" name="图表 3"/>
                <wp:cNvGraphicFramePr/>
                <a:graphic xmlns:a="http://schemas.openxmlformats.org/drawingml/2006/main">
                  <a:graphicData uri="http://schemas.microsoft.com/office/word/2010/wordprocessingShape">
                    <wps:wsp>
                      <wps:cNvSpPr/>
                      <wps:spPr>
                        <a:xfrm>
                          <a:off x="0" y="0"/>
                          <a:ext cx="4036695" cy="2328545"/>
                        </a:xfrm>
                        <a:custGeom>
                          <a:avLst/>
                          <a:gdLst/>
                          <a:ahLst/>
                          <a:cxnLst/>
                          <a:pathLst/>
                        </a:cu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shape id="图表 3" o:spid="_x0000_s1026" o:spt="100" style="height:183.35pt;width:317.85pt;" fillcolor="#FFFFFF" filled="t" stroked="t" coordsize="4036695,2328545" o:gfxdata="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pVGKbUAAAABQEA&#10;AA8AAAAAAAAAAQAgAAAAIgAAAGRycy9kb3ducmV2LnhtbFBLAQIUABQAAAAIAIdO4kBezbyP5QEA&#10;AOYDAAAOAAAAAAAAAAEAIAAAACMBAABkcnMvZTJvRG9jLnhtbFBLBQYAAAAABgAGAFkBAAB6BQAA&#10;AAA=&#10;">
                <v:fill on="t" focussize="0,0"/>
                <v:stroke color="#000000" joinstyle="round"/>
                <v:imagedata o:title=""/>
                <o:lock v:ext="edit" aspectratio="f"/>
                <w10:wrap type="none"/>
                <w10:anchorlock/>
              </v:shape>
            </w:pict>
          </mc:Fallback>
        </mc:AlternateConten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1215.2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506.69万元，下降41.70%，其中：基本支</w:t>
      </w:r>
      <w:r>
        <w:rPr>
          <w:rFonts w:hint="eastAsia" w:ascii="仿宋_GB2312" w:eastAsia="仿宋_GB2312"/>
          <w:sz w:val="28"/>
          <w:szCs w:val="28"/>
          <w:highlight w:val="none"/>
        </w:rPr>
        <w:t>出</w:t>
      </w:r>
      <w:r>
        <w:rPr>
          <w:rFonts w:ascii="仿宋_GB2312" w:eastAsia="仿宋_GB2312"/>
          <w:sz w:val="28"/>
          <w:szCs w:val="28"/>
          <w:highlight w:val="none"/>
        </w:rPr>
        <w:t>441.11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36.3</w:t>
      </w:r>
      <w:r>
        <w:rPr>
          <w:rFonts w:hint="eastAsia" w:ascii="仿宋_GB2312" w:eastAsia="仿宋_GB2312"/>
          <w:sz w:val="28"/>
          <w:szCs w:val="28"/>
          <w:highlight w:val="none"/>
        </w:rPr>
        <w:t>%；项目支出</w:t>
      </w:r>
      <w:r>
        <w:rPr>
          <w:rFonts w:ascii="仿宋_GB2312" w:eastAsia="仿宋_GB2312"/>
          <w:sz w:val="28"/>
          <w:szCs w:val="28"/>
          <w:highlight w:val="none"/>
        </w:rPr>
        <w:t>774.08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63.7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mc:AlternateContent>
          <mc:Choice Requires="wps">
            <w:drawing>
              <wp:inline distT="0" distB="0" distL="114300" distR="114300">
                <wp:extent cx="4572000" cy="2743200"/>
                <wp:effectExtent l="0" t="0" r="0" b="0"/>
                <wp:docPr id="2" name="图表 3"/>
                <wp:cNvGraphicFramePr/>
                <a:graphic xmlns:a="http://schemas.openxmlformats.org/drawingml/2006/main">
                  <a:graphicData uri="http://schemas.microsoft.com/office/word/2010/wordprocessingShape">
                    <wps:wsp>
                      <wps:cNvSpPr/>
                      <wps:spPr>
                        <a:xfrm>
                          <a:off x="0" y="0"/>
                          <a:ext cx="4572000" cy="2743200"/>
                        </a:xfrm>
                        <a:custGeom>
                          <a:avLst/>
                          <a:gdLst/>
                          <a:ahLst/>
                          <a:cxnLst/>
                          <a:pathLst/>
                        </a:cu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shape id="图表 3" o:spid="_x0000_s1026" o:spt="100" style="height:216pt;width:360pt;" fillcolor="#FFFFFF" filled="t" stroked="t" coordsize="4572000,2743200" o:gfxdata="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oAOlV1AAAAAUB&#10;AAAPAAAAAAAAAAEAIAAAACIAAABkcnMvZG93bnJldi54bWxQSwECFAAUAAAACACHTuJAsfDlMuYB&#10;AADmAwAADgAAAAAAAAABACAAAAAjAQAAZHJzL2Uyb0RvYy54bWxQSwUGAAAAAAYABgBZAQAAewUA&#10;AAAA&#10;">
                <v:fill on="t" focussize="0,0"/>
                <v:stroke color="#000000" joinstyle="round"/>
                <v:imagedata o:title=""/>
                <o:lock v:ext="edit" aspectratio="f"/>
                <w10:wrap type="none"/>
                <w10:anchorlock/>
              </v:shape>
            </w:pict>
          </mc:Fallback>
        </mc:AlternateConten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1215.2</w:t>
      </w:r>
      <w:r>
        <w:rPr>
          <w:rFonts w:hint="eastAsia" w:ascii="仿宋_GB2312" w:eastAsia="仿宋_GB2312"/>
          <w:sz w:val="28"/>
          <w:szCs w:val="28"/>
        </w:rPr>
        <w:t>万元，比上年减少506.69万元，下降41.70%。主要原因：本单位为2022年9月正式招生的新建园，2023年有新建园尾款项目。</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1215.2</w:t>
      </w:r>
      <w:r>
        <w:rPr>
          <w:rFonts w:hint="eastAsia" w:ascii="仿宋_GB2312" w:eastAsia="仿宋_GB2312"/>
          <w:sz w:val="28"/>
          <w:szCs w:val="28"/>
        </w:rPr>
        <w:t>万元，主要用于以下方面（按大类）：教育支出1120.63万元，占本年财政拨款支出92.22%；社会保障及就业支出39.64万元，占本年财政拨款支出3.26%；卫生健康支出30.22万元，占本年财政拨款支出2.49%；住房保障支出24.70万元，占本年财政拨款支出2.03%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1.“教育支出”（类）</w:t>
      </w:r>
      <w:r>
        <w:rPr>
          <w:rFonts w:hint="eastAsia" w:ascii="仿宋_GB2312" w:eastAsia="仿宋_GB2312"/>
          <w:sz w:val="28"/>
          <w:szCs w:val="28"/>
          <w:lang w:val="en-US" w:eastAsia="zh-CN"/>
        </w:rPr>
        <w:t>2024年度年初预算973.22万元，</w:t>
      </w:r>
      <w:r>
        <w:rPr>
          <w:rFonts w:hint="eastAsia" w:ascii="仿宋_GB2312" w:eastAsia="仿宋_GB2312"/>
          <w:sz w:val="28"/>
          <w:szCs w:val="28"/>
        </w:rPr>
        <w:t>2024年度决算1120.63万元，</w:t>
      </w:r>
      <w:r>
        <w:rPr>
          <w:rFonts w:hint="eastAsia" w:ascii="仿宋_GB2312" w:eastAsia="仿宋_GB2312"/>
          <w:sz w:val="28"/>
          <w:szCs w:val="28"/>
          <w:lang w:val="en-US" w:eastAsia="zh-CN"/>
        </w:rPr>
        <w:t>完成年初预算的115.15</w:t>
      </w:r>
      <w:r>
        <w:rPr>
          <w:rFonts w:hint="eastAsia" w:ascii="仿宋_GB2312" w:eastAsia="仿宋_GB2312"/>
          <w:sz w:val="28"/>
          <w:szCs w:val="28"/>
        </w:rPr>
        <w:t>%。其中：</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w:t>
      </w:r>
      <w:r>
        <w:rPr>
          <w:rFonts w:hint="eastAsia" w:ascii="仿宋_GB2312" w:eastAsia="仿宋_GB2312"/>
          <w:sz w:val="28"/>
          <w:szCs w:val="28"/>
        </w:rPr>
        <w:t>教育”（款，下同）</w:t>
      </w:r>
      <w:r>
        <w:rPr>
          <w:rFonts w:hint="eastAsia" w:ascii="仿宋_GB2312" w:eastAsia="仿宋_GB2312"/>
          <w:sz w:val="28"/>
          <w:szCs w:val="28"/>
          <w:lang w:val="en-US" w:eastAsia="zh-CN"/>
        </w:rPr>
        <w:t>2024年度年初预算973.22万元，</w:t>
      </w:r>
      <w:r>
        <w:rPr>
          <w:rFonts w:hint="eastAsia" w:ascii="仿宋_GB2312" w:eastAsia="仿宋_GB2312"/>
          <w:sz w:val="28"/>
          <w:szCs w:val="28"/>
        </w:rPr>
        <w:t>2024年度决算1120.63万元，</w:t>
      </w:r>
      <w:r>
        <w:rPr>
          <w:rFonts w:hint="eastAsia" w:ascii="仿宋_GB2312" w:eastAsia="仿宋_GB2312"/>
          <w:sz w:val="28"/>
          <w:szCs w:val="28"/>
          <w:lang w:val="en-US" w:eastAsia="zh-CN"/>
        </w:rPr>
        <w:t>完成年初预算的115.15</w:t>
      </w:r>
      <w:r>
        <w:rPr>
          <w:rFonts w:hint="eastAsia" w:ascii="仿宋_GB2312" w:eastAsia="仿宋_GB2312"/>
          <w:sz w:val="28"/>
          <w:szCs w:val="28"/>
        </w:rPr>
        <w:t>%。主要原因：本单位为2022年9月正式招生的新建园，2024年9月增加5个小班，员额制教师增加12人，临时辅助用工增加9人。2024年9月新增5个小班，增加办公经费用于幼儿园日常运行。</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2. “社会保障和就业支出”(类)</w:t>
      </w:r>
      <w:r>
        <w:rPr>
          <w:rFonts w:hint="eastAsia" w:ascii="仿宋_GB2312" w:eastAsia="仿宋_GB2312"/>
          <w:sz w:val="28"/>
          <w:szCs w:val="28"/>
          <w:lang w:val="en-US" w:eastAsia="zh-CN"/>
        </w:rPr>
        <w:t>2024年度年初预算35.74万元，</w:t>
      </w:r>
      <w:r>
        <w:rPr>
          <w:rFonts w:hint="eastAsia" w:ascii="仿宋_GB2312" w:eastAsia="仿宋_GB2312"/>
          <w:sz w:val="28"/>
          <w:szCs w:val="28"/>
        </w:rPr>
        <w:t xml:space="preserve"> 2024年度决算39.64万元，</w:t>
      </w:r>
      <w:r>
        <w:rPr>
          <w:rFonts w:hint="eastAsia" w:ascii="仿宋_GB2312" w:eastAsia="仿宋_GB2312"/>
          <w:sz w:val="28"/>
          <w:szCs w:val="28"/>
          <w:lang w:val="en-US" w:eastAsia="zh-CN"/>
        </w:rPr>
        <w:t>完成年初预算的110.91</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2024年度年初预算35.74万元，</w:t>
      </w:r>
      <w:r>
        <w:rPr>
          <w:rFonts w:hint="eastAsia" w:ascii="仿宋_GB2312" w:eastAsia="仿宋_GB2312"/>
          <w:sz w:val="28"/>
          <w:szCs w:val="28"/>
        </w:rPr>
        <w:t xml:space="preserve"> 2024年度决算39.64万元，</w:t>
      </w:r>
      <w:r>
        <w:rPr>
          <w:rFonts w:hint="eastAsia" w:ascii="仿宋_GB2312" w:eastAsia="仿宋_GB2312"/>
          <w:sz w:val="28"/>
          <w:szCs w:val="28"/>
          <w:lang w:val="en-US" w:eastAsia="zh-CN"/>
        </w:rPr>
        <w:t>完成年初预算的110.91</w:t>
      </w:r>
      <w:r>
        <w:rPr>
          <w:rFonts w:hint="eastAsia" w:ascii="仿宋_GB2312" w:eastAsia="仿宋_GB2312"/>
          <w:sz w:val="28"/>
          <w:szCs w:val="28"/>
        </w:rPr>
        <w:t>%。主要原因：本单位2024年9月新招12名员额制人员，7月进行社保基数调整，社保基数增加。</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3、“卫生健康支出”（类）</w:t>
      </w:r>
      <w:r>
        <w:rPr>
          <w:rFonts w:hint="eastAsia" w:ascii="仿宋_GB2312" w:eastAsia="仿宋_GB2312"/>
          <w:sz w:val="28"/>
          <w:szCs w:val="28"/>
          <w:lang w:val="en-US" w:eastAsia="zh-CN"/>
        </w:rPr>
        <w:t>2024年度年初预算29.53万元，</w:t>
      </w:r>
      <w:r>
        <w:rPr>
          <w:rFonts w:hint="eastAsia" w:ascii="仿宋_GB2312" w:eastAsia="仿宋_GB2312"/>
          <w:sz w:val="28"/>
          <w:szCs w:val="28"/>
        </w:rPr>
        <w:t>2024年决算30.22万元，</w:t>
      </w:r>
      <w:r>
        <w:rPr>
          <w:rFonts w:hint="eastAsia" w:ascii="仿宋_GB2312" w:eastAsia="仿宋_GB2312"/>
          <w:sz w:val="28"/>
          <w:szCs w:val="28"/>
          <w:lang w:val="en-US" w:eastAsia="zh-CN"/>
        </w:rPr>
        <w:t>完成年初预算的102.34</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 xml:space="preserve"> “行政事业单位医疗”（款）</w:t>
      </w:r>
      <w:r>
        <w:rPr>
          <w:rFonts w:hint="eastAsia" w:ascii="仿宋_GB2312" w:eastAsia="仿宋_GB2312"/>
          <w:sz w:val="28"/>
          <w:szCs w:val="28"/>
          <w:lang w:val="en-US" w:eastAsia="zh-CN"/>
        </w:rPr>
        <w:t>2024年度年初预算29.53万元，</w:t>
      </w:r>
      <w:r>
        <w:rPr>
          <w:rFonts w:hint="eastAsia" w:ascii="仿宋_GB2312" w:eastAsia="仿宋_GB2312"/>
          <w:sz w:val="28"/>
          <w:szCs w:val="28"/>
        </w:rPr>
        <w:t>2024年决算30.22万元，</w:t>
      </w:r>
      <w:r>
        <w:rPr>
          <w:rFonts w:hint="eastAsia" w:ascii="仿宋_GB2312" w:eastAsia="仿宋_GB2312"/>
          <w:sz w:val="28"/>
          <w:szCs w:val="28"/>
          <w:lang w:val="en-US" w:eastAsia="zh-CN"/>
        </w:rPr>
        <w:t>完成年初预算的102.34</w:t>
      </w:r>
      <w:r>
        <w:rPr>
          <w:rFonts w:hint="eastAsia" w:ascii="仿宋_GB2312" w:eastAsia="仿宋_GB2312"/>
          <w:sz w:val="28"/>
          <w:szCs w:val="28"/>
        </w:rPr>
        <w:t>%。主要原因：本单位2024年9月新招12名员额制人员，7月进行社保基数调整，社保基数增加。</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4、“住房保障”（类）</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2024年决算24.70万元，其中：</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“住房改革支出” （款）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2024年决算24.70万元，主要原因：本单位2024年1月补发住房补贴。</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tabs>
          <w:tab w:val="center" w:pos="6979"/>
        </w:tabs>
        <w:spacing w:line="580" w:lineRule="exact"/>
        <w:ind w:firstLine="548" w:firstLineChars="196"/>
        <w:rPr>
          <w:rFonts w:hint="eastAsia"/>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441.11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w:t>
      </w:r>
      <w:r>
        <w:rPr>
          <w:rFonts w:hint="eastAsia" w:ascii="仿宋_GB2312" w:eastAsia="仿宋_GB2312"/>
          <w:sz w:val="28"/>
          <w:szCs w:val="28"/>
          <w:lang w:val="en-US" w:eastAsia="zh-CN"/>
        </w:rPr>
        <w:t>支出</w:t>
      </w:r>
      <w:r>
        <w:rPr>
          <w:rFonts w:hint="eastAsia" w:ascii="仿宋_GB2312" w:eastAsia="仿宋_GB2312"/>
          <w:sz w:val="28"/>
          <w:szCs w:val="28"/>
        </w:rPr>
        <w:t>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w:t>
      </w:r>
      <w:r>
        <w:rPr>
          <w:rFonts w:hint="eastAsia" w:ascii="仿宋_GB2312" w:eastAsia="仿宋_GB2312"/>
          <w:sz w:val="28"/>
          <w:szCs w:val="28"/>
        </w:rPr>
        <w:t>机关事业单位基本养老保险、职业年金、职业基本医疗补助、公务员医疗保险、住房公积金；（2）商品和服务支出包括</w:t>
      </w:r>
      <w:r>
        <w:rPr>
          <w:rFonts w:ascii="仿宋_GB2312" w:eastAsia="仿宋_GB2312"/>
          <w:sz w:val="28"/>
          <w:szCs w:val="28"/>
        </w:rPr>
        <w:t>办公费、水费、电费、邮电费</w:t>
      </w:r>
      <w:r>
        <w:rPr>
          <w:rFonts w:hint="eastAsia" w:ascii="仿宋_GB2312" w:eastAsia="仿宋_GB2312"/>
          <w:sz w:val="28"/>
          <w:szCs w:val="28"/>
          <w:lang w:eastAsia="zh-CN"/>
        </w:rPr>
        <w:t>、</w:t>
      </w:r>
      <w:r>
        <w:rPr>
          <w:rFonts w:ascii="仿宋_GB2312" w:eastAsia="仿宋_GB2312"/>
          <w:sz w:val="28"/>
          <w:szCs w:val="28"/>
        </w:rPr>
        <w:t>取暖费、差旅费、维修（护）费、培训费、福利费、公务用车运行维护费</w:t>
      </w:r>
      <w:r>
        <w:rPr>
          <w:rFonts w:hint="eastAsia" w:ascii="仿宋_GB2312" w:eastAsia="仿宋_GB2312"/>
          <w:sz w:val="28"/>
          <w:szCs w:val="28"/>
        </w:rPr>
        <w:t>；（3）对个人和家庭补助支出包</w:t>
      </w:r>
      <w:r>
        <w:rPr>
          <w:rFonts w:ascii="仿宋_GB2312" w:eastAsia="仿宋_GB2312"/>
          <w:sz w:val="28"/>
          <w:szCs w:val="28"/>
        </w:rPr>
        <w:t>奖励金</w:t>
      </w:r>
      <w:r>
        <w:rPr>
          <w:rFonts w:hint="eastAsia"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0.1</w:t>
      </w:r>
      <w:r>
        <w:rPr>
          <w:rFonts w:hint="eastAsia" w:ascii="仿宋_GB2312" w:eastAsia="仿宋_GB2312"/>
          <w:sz w:val="28"/>
          <w:szCs w:val="28"/>
        </w:rPr>
        <w:t>万元增加</w:t>
      </w:r>
      <w:r>
        <w:rPr>
          <w:rFonts w:hint="eastAsia" w:ascii="仿宋_GB2312" w:eastAsia="仿宋_GB2312"/>
          <w:sz w:val="28"/>
          <w:szCs w:val="28"/>
          <w:lang w:val="en-US" w:eastAsia="zh-CN"/>
        </w:rPr>
        <w:t>0.27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增加减少无变化</w:t>
      </w:r>
      <w:r>
        <w:rPr>
          <w:rFonts w:hint="eastAsia" w:ascii="仿宋_GB2312" w:eastAsia="仿宋_GB2312"/>
          <w:sz w:val="28"/>
          <w:szCs w:val="28"/>
        </w:rPr>
        <w:t>。主要原因：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w:t>
      </w:r>
      <w:r>
        <w:rPr>
          <w:rFonts w:hint="eastAsia" w:ascii="仿宋_GB2312" w:eastAsia="仿宋_GB2312"/>
          <w:sz w:val="28"/>
          <w:szCs w:val="28"/>
        </w:rPr>
        <w:t>万元减少</w:t>
      </w:r>
      <w:r>
        <w:rPr>
          <w:rFonts w:hint="eastAsia" w:ascii="仿宋_GB2312" w:eastAsia="仿宋_GB2312"/>
          <w:sz w:val="28"/>
          <w:szCs w:val="28"/>
          <w:lang w:val="en-US" w:eastAsia="zh-CN"/>
        </w:rPr>
        <w:t>0.1</w:t>
      </w:r>
      <w:r>
        <w:rPr>
          <w:rFonts w:hint="eastAsia" w:ascii="仿宋_GB2312" w:eastAsia="仿宋_GB2312"/>
          <w:sz w:val="28"/>
          <w:szCs w:val="28"/>
        </w:rPr>
        <w:t>万元。主要原因：</w:t>
      </w:r>
      <w:r>
        <w:rPr>
          <w:rFonts w:hint="eastAsia" w:ascii="仿宋_GB2312" w:eastAsia="仿宋_GB2312"/>
          <w:sz w:val="28"/>
          <w:szCs w:val="28"/>
          <w:lang w:val="en-US" w:eastAsia="zh-CN"/>
        </w:rPr>
        <w:t>2024年度</w:t>
      </w:r>
      <w:r>
        <w:rPr>
          <w:rFonts w:hint="eastAsia" w:ascii="仿宋_GB2312" w:eastAsia="仿宋_GB2312"/>
          <w:sz w:val="28"/>
          <w:szCs w:val="28"/>
        </w:rPr>
        <w:t>本单位</w:t>
      </w:r>
      <w:r>
        <w:rPr>
          <w:rFonts w:hint="eastAsia" w:ascii="仿宋_GB2312" w:eastAsia="仿宋_GB2312"/>
          <w:sz w:val="28"/>
          <w:szCs w:val="28"/>
          <w:lang w:val="en-US" w:eastAsia="zh-CN"/>
        </w:rPr>
        <w:t>无</w:t>
      </w:r>
      <w:r>
        <w:rPr>
          <w:rFonts w:hint="eastAsia" w:ascii="仿宋_GB2312" w:eastAsia="仿宋_GB2312"/>
          <w:sz w:val="28"/>
          <w:szCs w:val="28"/>
        </w:rPr>
        <w:t>公务接待</w:t>
      </w:r>
      <w:r>
        <w:rPr>
          <w:rFonts w:hint="eastAsia" w:ascii="仿宋_GB2312" w:eastAsia="仿宋_GB2312"/>
          <w:sz w:val="28"/>
          <w:szCs w:val="28"/>
          <w:lang w:val="en-US" w:eastAsia="zh-CN"/>
        </w:rPr>
        <w:t>费用支出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0.37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0.37</w:t>
      </w:r>
      <w:r>
        <w:rPr>
          <w:rFonts w:hint="eastAsia" w:ascii="仿宋_GB2312" w:eastAsia="仿宋_GB2312"/>
          <w:sz w:val="28"/>
          <w:szCs w:val="28"/>
        </w:rPr>
        <w:t>万元，主要原因：主要原因：原因是严格落实公务用车使用规定，认真贯彻厉行节约反对浪费的有关要求，本着节俭高效的原则,进一步加强公务用车管理,减少费用支出。</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hint="eastAsia" w:ascii="仿宋_GB2312" w:eastAsia="仿宋_GB2312"/>
          <w:sz w:val="28"/>
          <w:szCs w:val="28"/>
          <w:lang w:val="en-US" w:eastAsia="zh-CN"/>
        </w:rPr>
        <w:t>0万元增加减少无变化</w:t>
      </w:r>
      <w:r>
        <w:rPr>
          <w:rFonts w:hint="eastAsia" w:ascii="仿宋_GB2312" w:eastAsia="仿宋_GB2312"/>
          <w:sz w:val="28"/>
          <w:szCs w:val="28"/>
        </w:rPr>
        <w:t>，增加（减少）原因：</w:t>
      </w:r>
      <w:r>
        <w:rPr>
          <w:rFonts w:hint="eastAsia" w:ascii="仿宋_GB2312" w:eastAsia="仿宋_GB2312"/>
          <w:sz w:val="28"/>
          <w:szCs w:val="28"/>
          <w:lang w:val="en-US" w:eastAsia="zh-CN"/>
        </w:rPr>
        <w:t>本单位不在机关运行经费统计范围内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0.86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0.27</w:t>
      </w:r>
      <w:r>
        <w:rPr>
          <w:rFonts w:hint="eastAsia" w:ascii="仿宋_GB2312" w:eastAsia="仿宋_GB2312"/>
          <w:sz w:val="28"/>
          <w:szCs w:val="28"/>
        </w:rPr>
        <w:t>万元。授予中小企业合同金额</w:t>
      </w:r>
      <w:r>
        <w:rPr>
          <w:rFonts w:ascii="仿宋_GB2312" w:eastAsia="仿宋_GB2312"/>
          <w:sz w:val="28"/>
          <w:szCs w:val="28"/>
        </w:rPr>
        <w:t>0.86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76.11</w:t>
      </w:r>
      <w:r>
        <w:rPr>
          <w:rFonts w:hint="eastAsia" w:ascii="仿宋_GB2312" w:eastAsia="仿宋_GB2312"/>
          <w:sz w:val="28"/>
          <w:szCs w:val="28"/>
        </w:rPr>
        <w:t>%，其中：授予小微企业合同金额</w:t>
      </w:r>
      <w:r>
        <w:rPr>
          <w:rFonts w:ascii="仿宋_GB2312" w:eastAsia="仿宋_GB2312"/>
          <w:sz w:val="28"/>
          <w:szCs w:val="28"/>
        </w:rPr>
        <w:t>0.86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76.11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12月31日，北京市大兴区第一中学附属幼儿园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教育支出</w:t>
      </w:r>
      <w:r>
        <w:rPr>
          <w:rFonts w:ascii="仿宋_GB2312" w:eastAsia="仿宋_GB2312"/>
          <w:sz w:val="28"/>
          <w:szCs w:val="28"/>
        </w:rPr>
        <w:t>：</w:t>
      </w:r>
      <w:r>
        <w:rPr>
          <w:rFonts w:hint="eastAsia" w:ascii="仿宋_GB2312" w:eastAsia="仿宋_GB2312"/>
          <w:sz w:val="28"/>
          <w:szCs w:val="28"/>
        </w:rPr>
        <w:t>是指</w:t>
      </w:r>
      <w:r>
        <w:rPr>
          <w:rFonts w:hint="eastAsia" w:ascii="仿宋_GB2312" w:eastAsia="仿宋_GB2312"/>
          <w:sz w:val="28"/>
          <w:szCs w:val="28"/>
          <w:lang w:val="en-US" w:eastAsia="zh-CN"/>
        </w:rPr>
        <w:t>反映政府教育事务支出。普通教育支出：是指各类普通教育支出。</w:t>
      </w:r>
    </w:p>
    <w:p>
      <w:pPr>
        <w:ind w:firstLine="480" w:firstLineChars="150"/>
        <w:rPr>
          <w:rFonts w:hint="eastAsia" w:ascii="仿宋_GB2312" w:eastAsia="仿宋_GB2312"/>
          <w:sz w:val="28"/>
          <w:szCs w:val="28"/>
          <w:lang w:val="en-US" w:eastAsia="zh-CN"/>
        </w:rPr>
      </w:pPr>
      <w:r>
        <w:rPr>
          <w:rFonts w:hint="eastAsia" w:ascii="黑体" w:eastAsia="黑体"/>
          <w:sz w:val="32"/>
          <w:szCs w:val="32"/>
          <w:lang w:val="en-US" w:eastAsia="zh-CN"/>
        </w:rPr>
        <w:t xml:space="preserve"> 8</w:t>
      </w:r>
      <w:r>
        <w:rPr>
          <w:rFonts w:hint="eastAsia" w:ascii="仿宋_GB2312" w:eastAsia="仿宋_GB2312"/>
          <w:sz w:val="28"/>
          <w:szCs w:val="28"/>
          <w:lang w:val="en-US" w:eastAsia="zh-CN"/>
        </w:rPr>
        <w:t>.社会保障和就业支出：是指政府在社会保障与就业方面的支出。行政事业单位养老支出：是指用于行政事业单位养老方面的支出。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9.卫生健康支出：是指政府卫生健康方面的支出。行政事业单位医疗：是指行政事业单位医疗方面的支出。</w:t>
      </w:r>
    </w:p>
    <w:p>
      <w:pPr>
        <w:rPr>
          <w:rFonts w:hint="default"/>
          <w:lang w:val="en-US" w:eastAsia="zh-CN"/>
        </w:rPr>
      </w:pPr>
      <w:r>
        <w:rPr>
          <w:rFonts w:hint="eastAsia" w:ascii="仿宋_GB2312" w:eastAsia="仿宋_GB2312"/>
          <w:sz w:val="28"/>
          <w:szCs w:val="28"/>
          <w:lang w:val="en-US" w:eastAsia="zh-CN"/>
        </w:rPr>
        <w:t xml:space="preserve">   10.住房保障支出：是指集中反映政府用于住房方面的支出。住房改革支出：是指行政事业单位用财政拨款资金和其他资金等安排的住房改革支出。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F11785"/>
    <w:multiLevelType w:val="singleLevel"/>
    <w:tmpl w:val="68F11785"/>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jFjMjNiM2ViYzJmNDVmMzcxMmFhY2QzODdjZG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95718F6"/>
    <w:rsid w:val="1A4B685B"/>
    <w:rsid w:val="1AEC0734"/>
    <w:rsid w:val="1DEF20B0"/>
    <w:rsid w:val="1FF7AB17"/>
    <w:rsid w:val="214243FA"/>
    <w:rsid w:val="21AD613C"/>
    <w:rsid w:val="22467189"/>
    <w:rsid w:val="23C13622"/>
    <w:rsid w:val="257A14F5"/>
    <w:rsid w:val="27196C26"/>
    <w:rsid w:val="29EF086F"/>
    <w:rsid w:val="2BC34C59"/>
    <w:rsid w:val="2EFFE297"/>
    <w:rsid w:val="301437CA"/>
    <w:rsid w:val="349D1F0A"/>
    <w:rsid w:val="34DD0473"/>
    <w:rsid w:val="3A8E35DC"/>
    <w:rsid w:val="3C684897"/>
    <w:rsid w:val="433E495C"/>
    <w:rsid w:val="43B92914"/>
    <w:rsid w:val="489F2FD7"/>
    <w:rsid w:val="4AC27CB3"/>
    <w:rsid w:val="4BF72BEF"/>
    <w:rsid w:val="4FA90297"/>
    <w:rsid w:val="4FC41A43"/>
    <w:rsid w:val="51DB3C59"/>
    <w:rsid w:val="52562240"/>
    <w:rsid w:val="539D6583"/>
    <w:rsid w:val="54BF20E3"/>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B957C39"/>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 w:type="character" w:customStyle="1" w:styleId="20">
    <w:name w:val="font61"/>
    <w:basedOn w:val="11"/>
    <w:qFormat/>
    <w:uiPriority w:val="0"/>
    <w:rPr>
      <w:rFonts w:hint="eastAsia" w:ascii="宋体" w:hAnsi="宋体" w:eastAsia="宋体" w:cs="宋体"/>
      <w:color w:val="000000"/>
      <w:sz w:val="13"/>
      <w:szCs w:val="13"/>
      <w:u w:val="none"/>
    </w:rPr>
  </w:style>
  <w:style w:type="character" w:customStyle="1" w:styleId="21">
    <w:name w:val="font41"/>
    <w:basedOn w:val="11"/>
    <w:qFormat/>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644</Words>
  <Characters>733</Characters>
  <Lines>44</Lines>
  <Paragraphs>12</Paragraphs>
  <TotalTime>0</TotalTime>
  <ScaleCrop>false</ScaleCrop>
  <LinksUpToDate>false</LinksUpToDate>
  <CharactersWithSpaces>753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2025-11-06T08:26:29Z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CB5C2E5540D04D849550F4D06E4F78E4_13</vt:lpwstr>
  </property>
  <property fmtid="{D5CDD505-2E9C-101B-9397-08002B2CF9AE}" pid="4" name="KSOTemplateDocerSaveRecord">
    <vt:lpwstr>eyJoZGlkIjoiMjQwNjQzNTg4ZDE0ZTBiOGFjNjE4NDNkMzM5NWRjMzIiLCJ1c2VySWQiOiI4OTI4ODkxNzIifQ==</vt:lpwstr>
  </property>
</Properties>
</file>