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ind w:firstLine="2880" w:firstLineChars="400"/>
        <w:jc w:val="left"/>
        <w:rPr>
          <w:rFonts w:ascii="黑体" w:eastAsia="黑体"/>
          <w:sz w:val="72"/>
          <w:szCs w:val="72"/>
        </w:rPr>
      </w:pPr>
      <w:r>
        <w:rPr>
          <w:rFonts w:hint="eastAsia" w:ascii="黑体" w:eastAsia="黑体"/>
          <w:sz w:val="72"/>
          <w:szCs w:val="72"/>
        </w:rPr>
        <w:t>北京市大兴区理想城幼儿园</w:t>
      </w:r>
    </w:p>
    <w:p>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1．单位职责：本单位隶属北京市大兴区教育委员会，执行《政府会计准则制度》，主要职责是为学龄前儿童提供保育和教育服务，</w:t>
      </w:r>
    </w:p>
    <w:p>
      <w:pPr>
        <w:tabs>
          <w:tab w:val="center" w:pos="6979"/>
        </w:tabs>
        <w:spacing w:line="580" w:lineRule="exact"/>
        <w:ind w:firstLine="560" w:firstLineChars="200"/>
        <w:rPr>
          <w:rFonts w:ascii="仿宋_GB2312" w:hAnsi="宋体" w:eastAsia="仿宋_GB2312"/>
          <w:bCs/>
          <w:sz w:val="28"/>
          <w:szCs w:val="28"/>
        </w:rPr>
      </w:pPr>
      <w:r>
        <w:rPr>
          <w:rFonts w:hint="eastAsia" w:ascii="仿宋_GB2312" w:eastAsia="仿宋_GB2312"/>
          <w:kern w:val="0"/>
          <w:sz w:val="28"/>
          <w:szCs w:val="28"/>
        </w:rPr>
        <w:t>2．机构情况：</w:t>
      </w:r>
      <w:r>
        <w:rPr>
          <w:rFonts w:hint="eastAsia" w:ascii="仿宋_GB2312" w:hAnsi="宋体" w:eastAsia="仿宋_GB2312"/>
          <w:bCs/>
          <w:sz w:val="28"/>
          <w:szCs w:val="28"/>
        </w:rPr>
        <w:t>下设工会、行政办、保教室、科研室、总务室、安保办等部门。</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1583.49</w:t>
      </w:r>
      <w:r>
        <w:rPr>
          <w:rFonts w:hint="eastAsia" w:ascii="仿宋_GB2312" w:eastAsia="仿宋_GB2312"/>
          <w:sz w:val="28"/>
          <w:szCs w:val="28"/>
        </w:rPr>
        <w:t>万元，支出</w:t>
      </w:r>
      <w:r>
        <w:rPr>
          <w:rFonts w:ascii="仿宋_GB2312" w:eastAsia="仿宋_GB2312"/>
          <w:sz w:val="28"/>
          <w:szCs w:val="28"/>
        </w:rPr>
        <w:t>比上年增加</w:t>
      </w:r>
      <w:r>
        <w:rPr>
          <w:rFonts w:hint="eastAsia" w:ascii="仿宋_GB2312" w:eastAsia="仿宋_GB2312"/>
          <w:sz w:val="28"/>
          <w:szCs w:val="28"/>
        </w:rPr>
        <w:t>20.82万元，增长1.33%。</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1533.09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18.41万元，增长1.19%。</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1533.09</w:t>
      </w:r>
      <w:r>
        <w:rPr>
          <w:rFonts w:hint="eastAsia" w:ascii="仿宋_GB2312" w:eastAsia="仿宋_GB2312"/>
          <w:sz w:val="28"/>
          <w:szCs w:val="28"/>
        </w:rPr>
        <w:t>万元，占收入合计的100%。其中：一般公共预算财政拨款收入1533.09万元，占收入合计的100%；政府性基金预算财政拨款收入0万元，占收入合计的0%；国有资本经营预算财政拨款收入0万元，占收入合计的0%；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pPr>
        <w:pStyle w:val="2"/>
        <w:jc w:val="center"/>
      </w:pPr>
      <w:r>
        <w:rPr>
          <w:rFonts w:hint="eastAsia" w:ascii="仿宋_GB2312" w:eastAsia="仿宋_GB2312"/>
          <w:color w:val="000000"/>
          <w:sz w:val="32"/>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1583.49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20.82万元，增长1.33%，其中：基本支出</w:t>
      </w:r>
      <w:r>
        <w:rPr>
          <w:rFonts w:ascii="仿宋_GB2312" w:eastAsia="仿宋_GB2312"/>
          <w:sz w:val="28"/>
          <w:szCs w:val="28"/>
        </w:rPr>
        <w:t>930</w:t>
      </w:r>
      <w:r>
        <w:rPr>
          <w:rFonts w:hint="eastAsia" w:ascii="仿宋_GB2312" w:eastAsia="仿宋_GB2312"/>
          <w:sz w:val="28"/>
          <w:szCs w:val="28"/>
        </w:rPr>
        <w:t>万元，占支出合计的58.73%；项目支出</w:t>
      </w:r>
      <w:r>
        <w:rPr>
          <w:rFonts w:ascii="仿宋_GB2312" w:eastAsia="仿宋_GB2312"/>
          <w:sz w:val="28"/>
          <w:szCs w:val="28"/>
        </w:rPr>
        <w:t>653.49</w:t>
      </w:r>
      <w:r>
        <w:rPr>
          <w:rFonts w:hint="eastAsia" w:ascii="仿宋_GB2312" w:eastAsia="仿宋_GB2312"/>
          <w:sz w:val="28"/>
          <w:szCs w:val="28"/>
        </w:rPr>
        <w:t>万元，占支出合计的41.27%;上缴上级支出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1583.49</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20.82万元，增长1.33%。主要原因：因新增员额制教师5人，新增在编教师3人，人员经费增多；分园开设新班级，幼儿数量增大导致生均经费增多。</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1583.49</w:t>
      </w:r>
      <w:r>
        <w:rPr>
          <w:rFonts w:hint="eastAsia" w:ascii="仿宋_GB2312" w:eastAsia="仿宋_GB2312"/>
          <w:sz w:val="28"/>
          <w:szCs w:val="28"/>
        </w:rPr>
        <w:t>万元，主要用于以下方面（按大类）：教育支出1374.92万元，占支出合计的86.83%；社会保障和就业支出支出92.30万元，占支出合计的5.83%;卫生健康支出65.88万元，占支出合计的4.16%；住房保障支出50.40万元，占本年财政拨款支出3.18%。。</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1、“教育支出”（类）2024年度年初预算1306.69万元，2024年度决算1374.92万元，完成年初预算的105.22%。</w:t>
      </w:r>
    </w:p>
    <w:p>
      <w:pPr>
        <w:autoSpaceDE w:val="0"/>
        <w:autoSpaceDN w:val="0"/>
        <w:adjustRightInd w:val="0"/>
        <w:spacing w:line="580" w:lineRule="exact"/>
        <w:jc w:val="left"/>
        <w:rPr>
          <w:rFonts w:ascii="仿宋_GB2312" w:eastAsia="仿宋_GB2312"/>
          <w:sz w:val="28"/>
          <w:szCs w:val="28"/>
        </w:rPr>
      </w:pPr>
      <w:r>
        <w:rPr>
          <w:rFonts w:hint="eastAsia" w:ascii="仿宋_GB2312" w:eastAsia="仿宋_GB2312"/>
          <w:sz w:val="28"/>
          <w:szCs w:val="28"/>
        </w:rPr>
        <w:t>其中：</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“普通教育”（款）2024年度年初预算1309.69万元，2024年度决算1370.79万元，完成年初预算的104.67%。主要原因：2023年新建熙和分园图书玩具购置类项目经费支出增加，园内教职工人数增加，人员经费支出增大。</w:t>
      </w:r>
    </w:p>
    <w:p>
      <w:pPr>
        <w:tabs>
          <w:tab w:val="center" w:pos="6979"/>
        </w:tabs>
        <w:spacing w:line="580" w:lineRule="exact"/>
        <w:ind w:firstLine="560" w:firstLineChars="200"/>
        <w:rPr>
          <w:rFonts w:ascii="仿宋_GB2312" w:eastAsia="仿宋_GB2312"/>
          <w:sz w:val="28"/>
          <w:szCs w:val="28"/>
        </w:rPr>
      </w:pPr>
      <w:r>
        <w:rPr>
          <w:rFonts w:ascii="仿宋_GB2312" w:eastAsia="仿宋_GB2312"/>
          <w:sz w:val="28"/>
          <w:szCs w:val="28"/>
        </w:rPr>
        <w:t>“</w:t>
      </w:r>
      <w:r>
        <w:rPr>
          <w:rFonts w:hint="eastAsia" w:ascii="仿宋_GB2312" w:eastAsia="仿宋_GB2312"/>
          <w:sz w:val="28"/>
          <w:szCs w:val="28"/>
        </w:rPr>
        <w:t>教育费附加安排的支出</w:t>
      </w:r>
      <w:r>
        <w:rPr>
          <w:rFonts w:ascii="仿宋_GB2312" w:eastAsia="仿宋_GB2312"/>
          <w:sz w:val="28"/>
          <w:szCs w:val="28"/>
        </w:rPr>
        <w:t>”</w:t>
      </w:r>
      <w:r>
        <w:rPr>
          <w:rFonts w:hint="eastAsia" w:ascii="仿宋_GB2312" w:eastAsia="仿宋_GB2312"/>
          <w:sz w:val="28"/>
          <w:szCs w:val="28"/>
        </w:rPr>
        <w:t>(款)2024年度年初预算0万元，2024年度决算4.13万元，年初无预算。主要原因：新建分园，修缮类项目增多。</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2、“社会保障和就业支出”(类)2024年度年初预算83.72万元，2024年度决算92.30万元，完成年初预算的110.25%。其中：</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“行政事业单位养老支出”（款）2024年度年初预算83.72万元，2024年度决算92.30万元，完成年初预算的110.25%。主要原因：园内教职工人数增加，社保公积金基数调整，人员经费支出增大。</w:t>
      </w:r>
    </w:p>
    <w:p>
      <w:pPr>
        <w:numPr>
          <w:ilvl w:val="0"/>
          <w:numId w:val="1"/>
        </w:numPr>
        <w:spacing w:line="580" w:lineRule="exact"/>
        <w:ind w:firstLine="560"/>
        <w:rPr>
          <w:rFonts w:ascii="仿宋_GB2312" w:eastAsia="仿宋_GB2312"/>
          <w:sz w:val="28"/>
          <w:szCs w:val="28"/>
        </w:rPr>
      </w:pPr>
      <w:r>
        <w:rPr>
          <w:rFonts w:hint="eastAsia" w:ascii="仿宋_GB2312" w:eastAsia="仿宋_GB2312"/>
          <w:sz w:val="28"/>
          <w:szCs w:val="28"/>
        </w:rPr>
        <w:t>“卫生健康支出”(类)2024年度年初预算60.72万元，2024年度决算65.88万元，完成年初预算的108.5%。其中：</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 xml:space="preserve">    “行政事业单位医疗”（款）2024年度年初预算60.72万元，2024年度决算65.88万元，完成年初预算的108.5%。主要原因：园内教职工人数增加，人员经费支出增大，社保公积金基数调整。</w:t>
      </w:r>
    </w:p>
    <w:p>
      <w:pPr>
        <w:numPr>
          <w:ilvl w:val="0"/>
          <w:numId w:val="1"/>
        </w:numPr>
        <w:spacing w:line="580" w:lineRule="exact"/>
        <w:ind w:firstLine="560"/>
        <w:rPr>
          <w:rFonts w:ascii="仿宋_GB2312" w:eastAsia="仿宋_GB2312"/>
          <w:sz w:val="28"/>
          <w:szCs w:val="28"/>
        </w:rPr>
      </w:pPr>
      <w:r>
        <w:rPr>
          <w:rFonts w:hint="eastAsia" w:ascii="仿宋_GB2312" w:eastAsia="仿宋_GB2312"/>
          <w:sz w:val="28"/>
          <w:szCs w:val="28"/>
        </w:rPr>
        <w:t>“住房保障支出”（类）2024年度年初预算0万元，2024年度决算50.40万元，年初无预算。其中：</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“住房改革支出”（款）2024年度年初预算0万元，2024年度决算50.40万元，年初无预算。主要原因：补发往年度住房补贴。</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spacing w:line="560" w:lineRule="exact"/>
        <w:ind w:firstLine="840" w:firstLineChars="300"/>
        <w:rPr>
          <w:rFonts w:ascii="仿宋_GB2312" w:eastAsia="仿宋_GB2312"/>
          <w:sz w:val="28"/>
          <w:szCs w:val="28"/>
        </w:rPr>
      </w:pPr>
      <w:r>
        <w:rPr>
          <w:rFonts w:hint="eastAsia" w:ascii="仿宋_GB2312" w:eastAsia="仿宋_GB2312"/>
          <w:sz w:val="28"/>
          <w:szCs w:val="28"/>
        </w:rPr>
        <w:t>本单位2024年度无政府性基金预算财政拨款安排的支出。</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tabs>
          <w:tab w:val="center" w:pos="6979"/>
        </w:tabs>
        <w:spacing w:line="580" w:lineRule="exact"/>
        <w:ind w:left="315" w:leftChars="150" w:firstLine="560" w:firstLineChars="200"/>
        <w:rPr>
          <w:rFonts w:ascii="仿宋_GB2312" w:eastAsia="仿宋_GB2312"/>
          <w:sz w:val="28"/>
          <w:szCs w:val="28"/>
        </w:rPr>
      </w:pPr>
      <w:r>
        <w:rPr>
          <w:rFonts w:hint="eastAsia" w:ascii="仿宋_GB2312" w:eastAsia="仿宋_GB2312"/>
          <w:sz w:val="28"/>
          <w:szCs w:val="28"/>
        </w:rPr>
        <w:t>本单位2024年度无国有资本经营预算财</w:t>
      </w:r>
      <w:r>
        <w:rPr>
          <w:rFonts w:ascii="仿宋_GB2312" w:eastAsia="仿宋_GB2312"/>
          <w:sz w:val="28"/>
          <w:szCs w:val="28"/>
        </w:rPr>
        <w:t>政拨款</w:t>
      </w:r>
      <w:r>
        <w:rPr>
          <w:rFonts w:hint="eastAsia" w:ascii="仿宋_GB2312" w:eastAsia="仿宋_GB2312"/>
          <w:sz w:val="28"/>
          <w:szCs w:val="28"/>
        </w:rPr>
        <w:t>安排的支出。</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ind w:left="315" w:leftChars="150" w:firstLine="560" w:firstLineChars="200"/>
        <w:rPr>
          <w:rFonts w:ascii="仿宋_GB2312" w:eastAsia="仿宋_GB2312"/>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930</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万元，使用国有资本经营预算财政</w:t>
      </w:r>
      <w:r>
        <w:rPr>
          <w:rFonts w:ascii="仿宋_GB2312" w:eastAsia="仿宋_GB2312"/>
          <w:sz w:val="28"/>
          <w:szCs w:val="28"/>
        </w:rPr>
        <w:t>拨款</w:t>
      </w:r>
      <w:r>
        <w:rPr>
          <w:rFonts w:hint="eastAsia" w:ascii="仿宋_GB2312" w:eastAsia="仿宋_GB2312"/>
          <w:sz w:val="28"/>
          <w:szCs w:val="28"/>
        </w:rPr>
        <w:t>安排基本支出0万元，其中：（1）工资福利支出包括基本工资元</w:t>
      </w:r>
      <w:r>
        <w:rPr>
          <w:rFonts w:ascii="仿宋_GB2312" w:eastAsia="仿宋_GB2312"/>
          <w:sz w:val="28"/>
          <w:szCs w:val="28"/>
        </w:rPr>
        <w:t>、津贴补贴、绩效工资、</w:t>
      </w:r>
      <w:r>
        <w:rPr>
          <w:rFonts w:hint="eastAsia" w:ascii="仿宋_GB2312" w:eastAsia="仿宋_GB2312"/>
          <w:sz w:val="28"/>
          <w:szCs w:val="28"/>
        </w:rPr>
        <w:t>机关事业单位基本养老保险缴费、职业年金缴费、职工基本医疗保险缴费、公务员医疗补助缴费、其他</w:t>
      </w:r>
      <w:r>
        <w:rPr>
          <w:rFonts w:ascii="仿宋_GB2312" w:eastAsia="仿宋_GB2312"/>
          <w:sz w:val="28"/>
          <w:szCs w:val="28"/>
        </w:rPr>
        <w:t>社会保障缴费、</w:t>
      </w:r>
      <w:r>
        <w:rPr>
          <w:rFonts w:hint="eastAsia" w:ascii="仿宋_GB2312" w:eastAsia="仿宋_GB2312"/>
          <w:sz w:val="28"/>
          <w:szCs w:val="28"/>
        </w:rPr>
        <w:t>住房公积金；（2）商品和服务支出包括</w:t>
      </w:r>
      <w:r>
        <w:rPr>
          <w:rFonts w:ascii="仿宋_GB2312" w:eastAsia="仿宋_GB2312"/>
          <w:sz w:val="28"/>
          <w:szCs w:val="28"/>
        </w:rPr>
        <w:t>办公费、印刷费、水费、电费、邮电费、取暖费、物业管理费、差旅费、维修（护）费、培训费</w:t>
      </w:r>
      <w:r>
        <w:rPr>
          <w:rFonts w:hint="eastAsia" w:asciiTheme="minorEastAsia" w:hAnsiTheme="minorEastAsia" w:eastAsiaTheme="minorEastAsia"/>
          <w:sz w:val="28"/>
          <w:szCs w:val="28"/>
        </w:rPr>
        <w:t>、</w:t>
      </w:r>
      <w:r>
        <w:rPr>
          <w:rFonts w:ascii="仿宋_GB2312" w:eastAsia="仿宋_GB2312"/>
          <w:sz w:val="28"/>
          <w:szCs w:val="28"/>
        </w:rPr>
        <w:t>福利费、公务用车运行维护费</w:t>
      </w:r>
      <w:r>
        <w:rPr>
          <w:rFonts w:hint="eastAsia" w:ascii="仿宋_GB2312" w:eastAsia="仿宋_GB2312"/>
          <w:sz w:val="28"/>
          <w:szCs w:val="28"/>
        </w:rPr>
        <w:t>；</w:t>
      </w:r>
    </w:p>
    <w:p>
      <w:pPr>
        <w:tabs>
          <w:tab w:val="center" w:pos="6979"/>
        </w:tabs>
        <w:spacing w:line="580" w:lineRule="exact"/>
        <w:ind w:firstLine="548" w:firstLineChars="196"/>
        <w:rPr>
          <w:rFonts w:ascii="黑体" w:eastAsia="黑体"/>
          <w:b/>
          <w:sz w:val="28"/>
          <w:szCs w:val="28"/>
        </w:rPr>
      </w:pPr>
    </w:p>
    <w:p>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0.37</w:t>
      </w:r>
      <w:r>
        <w:rPr>
          <w:rFonts w:hint="eastAsia" w:ascii="仿宋_GB2312" w:eastAsia="仿宋_GB2312"/>
          <w:sz w:val="28"/>
          <w:szCs w:val="28"/>
        </w:rPr>
        <w:t>万元，比2024年度“三公”经费财政拨款</w:t>
      </w:r>
      <w:bookmarkStart w:id="1" w:name="_GoBack"/>
      <w:bookmarkEnd w:id="1"/>
      <w:r>
        <w:rPr>
          <w:rFonts w:hint="eastAsia" w:ascii="仿宋_GB2312" w:eastAsia="仿宋_GB2312"/>
          <w:sz w:val="28"/>
          <w:szCs w:val="28"/>
        </w:rPr>
        <w:t>年初预算</w:t>
      </w:r>
      <w:r>
        <w:rPr>
          <w:rFonts w:ascii="仿宋_GB2312" w:eastAsia="仿宋_GB2312"/>
          <w:sz w:val="28"/>
          <w:szCs w:val="28"/>
        </w:rPr>
        <w:t>0.2</w:t>
      </w:r>
      <w:r>
        <w:rPr>
          <w:rFonts w:hint="eastAsia" w:ascii="仿宋_GB2312" w:eastAsia="仿宋_GB2312"/>
          <w:sz w:val="28"/>
          <w:szCs w:val="28"/>
        </w:rPr>
        <w:t>万元增加0.17万元。其中：</w:t>
      </w:r>
    </w:p>
    <w:p>
      <w:pPr>
        <w:spacing w:line="560" w:lineRule="exact"/>
        <w:ind w:firstLine="600"/>
        <w:rPr>
          <w:rFonts w:ascii="仿宋_GB2312" w:eastAsia="仿宋_GB2312"/>
          <w:sz w:val="28"/>
          <w:szCs w:val="28"/>
        </w:rPr>
      </w:pPr>
      <w:r>
        <w:rPr>
          <w:rFonts w:hint="eastAsia" w:ascii="仿宋_GB2312" w:eastAsia="仿宋_GB2312"/>
          <w:sz w:val="28"/>
          <w:szCs w:val="28"/>
        </w:rPr>
        <w:t>1.因公出国（境）费用。2024年度决算数0万元，比2024年度年初预算数0万元增减无变化，保持一致。主要原因：</w:t>
      </w:r>
      <w:r>
        <w:rPr>
          <w:rFonts w:hint="eastAsia" w:ascii="仿宋_GB2312" w:eastAsia="仿宋_GB2312"/>
          <w:color w:val="000000"/>
          <w:sz w:val="28"/>
          <w:szCs w:val="28"/>
          <w:lang w:bidi="ar"/>
        </w:rPr>
        <w:t>是因公出国（境）费用根据年度出国审批情况作为追加项目管理，单位不做年初预算，本年也没有出国审批项目发生</w:t>
      </w:r>
      <w:r>
        <w:rPr>
          <w:rFonts w:hint="eastAsia" w:ascii="仿宋_GB2312" w:eastAsia="仿宋_GB2312"/>
          <w:sz w:val="28"/>
          <w:szCs w:val="28"/>
        </w:rPr>
        <w:t>；2024年度因公出国（境）费用主要用于</w:t>
      </w:r>
      <w:r>
        <w:rPr>
          <w:rFonts w:hint="eastAsia" w:ascii="仿宋_GB2312" w:eastAsia="仿宋_GB2312"/>
          <w:color w:val="000000"/>
          <w:sz w:val="28"/>
          <w:szCs w:val="28"/>
          <w:lang w:bidi="ar"/>
        </w:rPr>
        <w:t>出国（境）的会议、培训交流等事项</w:t>
      </w:r>
      <w:r>
        <w:rPr>
          <w:rFonts w:hint="eastAsia" w:ascii="仿宋_GB2312" w:eastAsia="仿宋_GB2312"/>
          <w:sz w:val="28"/>
          <w:szCs w:val="28"/>
        </w:rPr>
        <w:t>等，2024年度组织因公出国（境）团组0个、0人次。</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2.公务接待费。2024年度决算数0万元，比2024年度年初预算数0.2万元增减无变化。主要原因：</w:t>
      </w:r>
      <w:r>
        <w:rPr>
          <w:rFonts w:hint="eastAsia" w:ascii="仿宋_GB2312" w:eastAsia="仿宋_GB2312"/>
          <w:color w:val="000000"/>
          <w:sz w:val="28"/>
          <w:szCs w:val="28"/>
          <w:lang w:bidi="ar"/>
        </w:rPr>
        <w:t>本年度无公务接待支出</w:t>
      </w:r>
      <w:r>
        <w:rPr>
          <w:rFonts w:hint="eastAsia" w:ascii="仿宋_GB2312" w:eastAsia="仿宋_GB2312"/>
          <w:sz w:val="28"/>
          <w:szCs w:val="28"/>
        </w:rPr>
        <w:t>。2024年度公务接待费主要用于</w:t>
      </w:r>
      <w:r>
        <w:rPr>
          <w:rFonts w:hint="eastAsia" w:ascii="仿宋_GB2312" w:eastAsia="仿宋_GB2312"/>
          <w:sz w:val="28"/>
          <w:szCs w:val="28"/>
          <w:lang w:bidi="ar"/>
        </w:rPr>
        <w:t>公务接待事项</w:t>
      </w:r>
      <w:r>
        <w:rPr>
          <w:rFonts w:hint="eastAsia" w:ascii="仿宋_GB2312" w:eastAsia="仿宋_GB2312"/>
          <w:sz w:val="28"/>
          <w:szCs w:val="28"/>
        </w:rPr>
        <w:t>。公务接待0批次，公务接待0人次。</w:t>
      </w:r>
    </w:p>
    <w:p>
      <w:pPr>
        <w:spacing w:line="560" w:lineRule="exact"/>
        <w:ind w:firstLine="560" w:firstLineChars="200"/>
        <w:rPr>
          <w:rFonts w:ascii="仿宋_GB2312" w:hAnsi="Times New Roman" w:eastAsia="仿宋_GB2312"/>
          <w:b w:val="0"/>
          <w:bCs w:val="0"/>
          <w:kern w:val="2"/>
          <w:sz w:val="28"/>
          <w:szCs w:val="28"/>
        </w:rPr>
      </w:pPr>
      <w:r>
        <w:rPr>
          <w:rFonts w:hint="eastAsia" w:ascii="仿宋_GB2312" w:eastAsia="仿宋_GB2312"/>
          <w:sz w:val="28"/>
          <w:szCs w:val="28"/>
        </w:rPr>
        <w:t>3.</w:t>
      </w:r>
      <w:r>
        <w:rPr>
          <w:rFonts w:hint="eastAsia" w:ascii="仿宋_GB2312" w:hAnsi="Times New Roman" w:eastAsia="仿宋_GB2312"/>
          <w:b w:val="0"/>
          <w:bCs w:val="0"/>
          <w:kern w:val="2"/>
          <w:sz w:val="28"/>
          <w:szCs w:val="28"/>
        </w:rPr>
        <w:t>公务用车购置及运行维护费。2024年度决算数0.37元，比2024年度年初预算数0万元增加0.37万元。其中，公务用车购置费2024年度决算数0万元，主要原因：本年度新购车辆0辆，2024年度购置（更新）0辆。公务用车运行维护费2024年度决算数0.37万元，</w:t>
      </w:r>
      <w:bookmarkStart w:id="0" w:name="OLE_LINK1"/>
      <w:r>
        <w:rPr>
          <w:rFonts w:hint="eastAsia" w:ascii="仿宋_GB2312" w:hAnsi="Times New Roman" w:eastAsia="仿宋_GB2312"/>
          <w:b w:val="0"/>
          <w:bCs w:val="0"/>
          <w:kern w:val="2"/>
          <w:sz w:val="28"/>
          <w:szCs w:val="28"/>
        </w:rPr>
        <w:t>主要原因：2023年新购公务车于2024年提车，追加公务用车运行维护费，用于保险等支出</w:t>
      </w:r>
      <w:bookmarkEnd w:id="0"/>
      <w:r>
        <w:rPr>
          <w:rFonts w:hint="eastAsia" w:ascii="仿宋_GB2312" w:hAnsi="Times New Roman" w:eastAsia="仿宋_GB2312"/>
          <w:b w:val="0"/>
          <w:bCs w:val="0"/>
          <w:kern w:val="2"/>
          <w:sz w:val="28"/>
          <w:szCs w:val="28"/>
        </w:rPr>
        <w:t>。2024年度公务用车保有量1辆。</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本单位不在机关运行经费统计范围之内。</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13.95</w:t>
      </w:r>
      <w:r>
        <w:rPr>
          <w:rFonts w:hint="eastAsia" w:ascii="仿宋_GB2312" w:eastAsia="仿宋_GB2312"/>
          <w:sz w:val="28"/>
          <w:szCs w:val="28"/>
        </w:rPr>
        <w:t>万元，其中：政府采购货物支出0万元，政府采购工程支出0万元，政府采购服务支出13.95万元。授予中小企业合同金额</w:t>
      </w:r>
      <w:r>
        <w:rPr>
          <w:rFonts w:ascii="仿宋_GB2312" w:eastAsia="仿宋_GB2312"/>
          <w:sz w:val="28"/>
          <w:szCs w:val="28"/>
        </w:rPr>
        <w:t>13.68</w:t>
      </w:r>
      <w:r>
        <w:rPr>
          <w:rFonts w:hint="eastAsia" w:ascii="仿宋_GB2312" w:eastAsia="仿宋_GB2312"/>
          <w:sz w:val="28"/>
          <w:szCs w:val="28"/>
        </w:rPr>
        <w:t>万元，占政府采购支出总额的98.04%，其中：授予小微企业合同金额</w:t>
      </w:r>
      <w:r>
        <w:rPr>
          <w:rFonts w:ascii="仿宋_GB2312" w:eastAsia="仿宋_GB2312"/>
          <w:sz w:val="28"/>
          <w:szCs w:val="28"/>
        </w:rPr>
        <w:t>13.68</w:t>
      </w:r>
      <w:r>
        <w:rPr>
          <w:rFonts w:hint="eastAsia" w:ascii="仿宋_GB2312" w:eastAsia="仿宋_GB2312"/>
          <w:sz w:val="28"/>
          <w:szCs w:val="28"/>
        </w:rPr>
        <w:t>万元，占政府采购支出总额的</w:t>
      </w:r>
      <w:r>
        <w:rPr>
          <w:rFonts w:ascii="仿宋_GB2312" w:eastAsia="仿宋_GB2312"/>
          <w:sz w:val="28"/>
          <w:szCs w:val="28"/>
        </w:rPr>
        <w:t>98.04</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截至12月31日，北京市大兴区理想城幼儿园共有车辆1台；单位价值100万元（含）以上的设备0台（套）。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教育支出（类）普通教育（款）学前教育（项）：反映各部门举办的学期教育支出。政府各部门对社会组织等举办的幼儿园的资助，如捐赠、补贴等，也在本科目中反映。</w:t>
      </w:r>
    </w:p>
    <w:p>
      <w:pPr>
        <w:ind w:firstLine="560" w:firstLineChars="20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退休人员待遇的医疗经费。</w:t>
      </w:r>
    </w:p>
    <w:p>
      <w:pPr>
        <w:ind w:firstLine="420" w:firstLineChars="150"/>
        <w:rPr>
          <w:rFonts w:ascii="仿宋_GB2312" w:eastAsia="仿宋_GB2312"/>
          <w:sz w:val="28"/>
          <w:szCs w:val="28"/>
        </w:rPr>
      </w:pPr>
      <w:r>
        <w:rPr>
          <w:rFonts w:hint="eastAsia" w:ascii="仿宋_GB2312" w:eastAsia="仿宋_GB2312"/>
          <w:sz w:val="28"/>
          <w:szCs w:val="28"/>
        </w:rPr>
        <w:t>7.卫生健康支出（类）行政事业单位医疗（款）公务员医疗补助（项）：反映财政部门安排的公务员医疗补助经费。</w:t>
      </w:r>
    </w:p>
    <w:p>
      <w:pPr>
        <w:ind w:firstLine="420" w:firstLineChars="150"/>
        <w:rPr>
          <w:rFonts w:ascii="仿宋_GB2312" w:eastAsia="仿宋_GB2312"/>
          <w:sz w:val="28"/>
          <w:szCs w:val="28"/>
        </w:rPr>
      </w:pPr>
      <w:r>
        <w:rPr>
          <w:rFonts w:hint="eastAsia" w:ascii="仿宋_GB2312" w:eastAsia="仿宋_GB2312"/>
          <w:sz w:val="28"/>
          <w:szCs w:val="28"/>
        </w:rPr>
        <w:t>8.社会保障和就业支出（类）行政事业单位养老支出（款）机关事业单位基本养老保险缴费支出（项）：反映机关事业单位实施养老保险制度由单位缴纳的基本养老保险费支出。</w:t>
      </w:r>
    </w:p>
    <w:p>
      <w:pPr>
        <w:ind w:firstLine="420" w:firstLineChars="150"/>
        <w:rPr>
          <w:rFonts w:ascii="仿宋_GB2312" w:eastAsia="仿宋_GB2312"/>
          <w:sz w:val="28"/>
          <w:szCs w:val="28"/>
        </w:rPr>
      </w:pPr>
      <w:r>
        <w:rPr>
          <w:rFonts w:hint="eastAsia" w:ascii="仿宋_GB2312" w:eastAsia="仿宋_GB2312"/>
          <w:sz w:val="28"/>
          <w:szCs w:val="28"/>
        </w:rPr>
        <w:t>9.社会保障和就业支出（类）行政事业单位养老支出（款）机关事业单位职业年金缴费支出（项）：反映机关事业单位实施养老保险制度由单位缴纳的职业年金支出（含职业年金补记支出）</w:t>
      </w:r>
    </w:p>
    <w:p>
      <w:pPr>
        <w:tabs>
          <w:tab w:val="center" w:pos="6979"/>
        </w:tabs>
        <w:spacing w:line="580" w:lineRule="exact"/>
        <w:ind w:firstLine="560" w:firstLineChars="200"/>
        <w:rPr>
          <w:rFonts w:ascii="黑体" w:eastAsia="黑体"/>
          <w:sz w:val="32"/>
          <w:szCs w:val="32"/>
        </w:rPr>
      </w:pPr>
      <w:r>
        <w:rPr>
          <w:rFonts w:hint="eastAsia" w:ascii="仿宋_GB2312" w:eastAsia="仿宋_GB2312"/>
          <w:sz w:val="28"/>
          <w:szCs w:val="28"/>
        </w:rPr>
        <w:t>10.“住房保障支出”（类） 集中反映政府用于住房方面的支出“住房改革支出”（款）反应行政事业单位用财政拨款资金和其他资金等安排的住房改革支出。</w:t>
      </w:r>
    </w:p>
    <w:p>
      <w:pPr>
        <w:ind w:firstLine="640" w:firstLineChars="200"/>
        <w:jc w:val="center"/>
        <w:rPr>
          <w:rFonts w:ascii="黑体" w:eastAsia="黑体"/>
          <w:sz w:val="28"/>
          <w:szCs w:val="28"/>
          <w:highlight w:val="yellow"/>
        </w:rPr>
      </w:pPr>
      <w:r>
        <w:rPr>
          <w:rFonts w:hint="eastAsia" w:ascii="黑体" w:eastAsia="黑体"/>
          <w:sz w:val="32"/>
          <w:szCs w:val="32"/>
        </w:rPr>
        <w:t>第四部分  2024年度部门绩效评价情况</w:t>
      </w:r>
    </w:p>
    <w:p>
      <w:pPr>
        <w:rPr>
          <w:rFonts w:ascii="仿宋" w:hAnsi="仿宋" w:eastAsia="仿宋" w:cs="仿宋"/>
          <w:b/>
          <w:bCs/>
          <w:kern w:val="0"/>
          <w:sz w:val="30"/>
          <w:szCs w:val="30"/>
        </w:rPr>
      </w:pPr>
      <w:r>
        <w:rPr>
          <w:rFonts w:hint="eastAsia" w:ascii="仿宋" w:hAnsi="仿宋" w:eastAsia="仿宋" w:cs="仿宋"/>
          <w:b/>
          <w:bCs/>
          <w:kern w:val="0"/>
          <w:sz w:val="30"/>
          <w:szCs w:val="30"/>
        </w:rPr>
        <w:t>一、项目支出绩效自评表（详见附件）</w:t>
      </w:r>
    </w:p>
    <w:p>
      <w:pPr>
        <w:rPr>
          <w:rFonts w:ascii="黑体" w:eastAsia="黑体"/>
          <w:sz w:val="28"/>
          <w:szCs w:val="28"/>
        </w:rPr>
      </w:pPr>
    </w:p>
    <w:p>
      <w:pPr>
        <w:spacing w:line="480" w:lineRule="exact"/>
      </w:pPr>
      <w:r>
        <w:rPr>
          <w:rFonts w:hint="eastAsia" w:ascii="黑体" w:eastAsia="黑体"/>
          <w:sz w:val="28"/>
          <w:szCs w:val="28"/>
        </w:rPr>
        <w:t xml:space="preserve"> </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02381C"/>
    <w:multiLevelType w:val="singleLevel"/>
    <w:tmpl w:val="7802381C"/>
    <w:lvl w:ilvl="0" w:tentative="0">
      <w:start w:val="3"/>
      <w:numFmt w:val="decimal"/>
      <w:suff w:val="nothing"/>
      <w:lvlText w:val="%1、"/>
      <w:lvlJc w:val="left"/>
      <w:pPr>
        <w:ind w:left="7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4E59"/>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5D98"/>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B6A9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B020399"/>
    <w:rsid w:val="1DEF20B0"/>
    <w:rsid w:val="1FF7AB17"/>
    <w:rsid w:val="214243FA"/>
    <w:rsid w:val="21AD613C"/>
    <w:rsid w:val="21EA4226"/>
    <w:rsid w:val="22467189"/>
    <w:rsid w:val="257A14F5"/>
    <w:rsid w:val="2626616E"/>
    <w:rsid w:val="27196C26"/>
    <w:rsid w:val="29EF086F"/>
    <w:rsid w:val="2BC34C59"/>
    <w:rsid w:val="2EFFE297"/>
    <w:rsid w:val="301437CA"/>
    <w:rsid w:val="349D1F0A"/>
    <w:rsid w:val="34DD0473"/>
    <w:rsid w:val="39DB6451"/>
    <w:rsid w:val="3A8E35DC"/>
    <w:rsid w:val="3C684897"/>
    <w:rsid w:val="3E636B73"/>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字符"/>
    <w:link w:val="7"/>
    <w:qFormat/>
    <w:uiPriority w:val="0"/>
    <w:rPr>
      <w:rFonts w:eastAsia="宋体"/>
      <w:kern w:val="2"/>
      <w:sz w:val="18"/>
      <w:szCs w:val="18"/>
      <w:lang w:val="en-US" w:eastAsia="zh-CN" w:bidi="ar-SA"/>
    </w:rPr>
  </w:style>
  <w:style w:type="character" w:customStyle="1" w:styleId="15">
    <w:name w:val="页眉 字符"/>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51"/>
    <w:basedOn w:val="11"/>
    <w:qFormat/>
    <w:uiPriority w:val="0"/>
    <w:rPr>
      <w:rFonts w:hint="eastAsia" w:ascii="宋体" w:hAnsi="宋体" w:eastAsia="宋体" w:cs="宋体"/>
      <w:color w:val="000000"/>
      <w:sz w:val="13"/>
      <w:szCs w:val="13"/>
      <w:u w:val="none"/>
    </w:rPr>
  </w:style>
  <w:style w:type="character" w:customStyle="1" w:styleId="21">
    <w:name w:val="font11"/>
    <w:basedOn w:val="11"/>
    <w:qFormat/>
    <w:uiPriority w:val="0"/>
    <w:rPr>
      <w:rFonts w:hint="eastAsia" w:ascii="宋体" w:hAnsi="宋体" w:eastAsia="宋体" w:cs="宋体"/>
      <w:color w:val="000000"/>
      <w:sz w:val="18"/>
      <w:szCs w:val="18"/>
      <w:u w:val="none"/>
    </w:rPr>
  </w:style>
  <w:style w:type="character" w:customStyle="1" w:styleId="22">
    <w:name w:val="font31"/>
    <w:basedOn w:val="11"/>
    <w:qFormat/>
    <w:uiPriority w:val="0"/>
    <w:rPr>
      <w:rFonts w:hint="eastAsia" w:ascii="宋体" w:hAnsi="宋体" w:eastAsia="宋体" w:cs="宋体"/>
      <w:color w:val="000000"/>
      <w:sz w:val="13"/>
      <w:szCs w:val="13"/>
      <w:u w:val="none"/>
    </w:rPr>
  </w:style>
  <w:style w:type="character" w:customStyle="1" w:styleId="23">
    <w:name w:val="font41"/>
    <w:basedOn w:val="11"/>
    <w:qFormat/>
    <w:uiPriority w:val="0"/>
    <w:rPr>
      <w:rFonts w:hint="eastAsia" w:ascii="宋体" w:hAnsi="宋体" w:eastAsia="宋体" w:cs="宋体"/>
      <w:color w:val="000000"/>
      <w:sz w:val="13"/>
      <w:szCs w:val="13"/>
      <w:u w:val="none"/>
    </w:rPr>
  </w:style>
  <w:style w:type="character" w:customStyle="1" w:styleId="24">
    <w:name w:val="font21"/>
    <w:basedOn w:val="11"/>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1533.09</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930</c:v>
                </c:pt>
                <c:pt idx="1">
                  <c:v>653.49</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643</Words>
  <Characters>3666</Characters>
  <Lines>30</Lines>
  <Paragraphs>8</Paragraphs>
  <TotalTime>7</TotalTime>
  <ScaleCrop>false</ScaleCrop>
  <LinksUpToDate>false</LinksUpToDate>
  <CharactersWithSpaces>4301</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pc</cp:lastModifiedBy>
  <cp:lastPrinted>2020-08-09T03:39:00Z</cp:lastPrinted>
  <dcterms:modified xsi:type="dcterms:W3CDTF">2025-11-06T08:48:52Z</dcterms:modified>
  <dc:title>北京市财政局关于做好向市人大常委会报送2015年度市级部门决算（草案）</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eyJoZGlkIjoiN2E5ODQ3ZDY5NGQ3ZGFhZDhmZWIxOTQ0MTY2NWE1M2MiLCJ1c2VySWQiOiI0NTg1NDg1NTAifQ==</vt:lpwstr>
  </property>
</Properties>
</file>