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rFonts w:hint="eastAsia" w:ascii="仿宋_GB2312" w:eastAsia="仿宋_GB2312"/>
          <w:b w:val="0"/>
          <w:bCs w:val="0"/>
          <w:sz w:val="28"/>
          <w:szCs w:val="28"/>
        </w:r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rPr>
          <w:rFonts w:hint="eastAsia" w:ascii="仿宋_GB2312" w:eastAsia="仿宋_GB2312"/>
          <w:b w:val="0"/>
          <w:bCs w:val="0"/>
          <w:sz w:val="28"/>
          <w:szCs w:val="28"/>
        </w:rPr>
      </w:pPr>
    </w:p>
    <w:p>
      <w:pPr>
        <w:pStyle w:val="2"/>
        <w:rPr>
          <w:rFonts w:hint="eastAsia" w:ascii="仿宋_GB2312" w:eastAsia="仿宋_GB2312"/>
          <w:b w:val="0"/>
          <w:bCs w:val="0"/>
          <w:sz w:val="28"/>
          <w:szCs w:val="28"/>
        </w:rPr>
      </w:pPr>
    </w:p>
    <w:p>
      <w:pPr>
        <w:rPr>
          <w:rFonts w:hint="eastAsia" w:ascii="仿宋_GB2312" w:eastAsia="仿宋_GB2312"/>
          <w:b w:val="0"/>
          <w:bCs w:val="0"/>
          <w:sz w:val="28"/>
          <w:szCs w:val="28"/>
        </w:rPr>
      </w:pPr>
    </w:p>
    <w:p>
      <w:pPr>
        <w:pStyle w:val="2"/>
        <w:sectPr>
          <w:footerReference r:id="rId3" w:type="default"/>
          <w:pgSz w:w="16838" w:h="11906" w:orient="landscape"/>
          <w:pgMar w:top="1134" w:right="1134" w:bottom="1134" w:left="1134" w:header="851" w:footer="992" w:gutter="0"/>
          <w:cols w:space="720" w:num="1"/>
          <w:docGrid w:type="linesAndChars" w:linePitch="312" w:charSpace="0"/>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1.主要职责:本单位主要职责是负责幼儿的保育教育工作。</w:t>
      </w:r>
    </w:p>
    <w:p>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2.机构情况:大兴区瀛海第五幼儿园共设有12部门，即园长室、书记室、副院长室、教务处、总务处、工会、财务室、保健室、资料室、食堂、中控室、传达室等部门。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pStyle w:val="2"/>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2024年度收、支总计1167.10万元，比上年减少499.66万元，下降29.8%。</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（一）收入决算说明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2024年度本年收入合计1139.10万元，比上年减少</w:t>
      </w:r>
      <w:r>
        <w:rPr>
          <w:rFonts w:hint="eastAsia" w:ascii="仿宋_GB2312" w:eastAsia="仿宋_GB2312"/>
          <w:sz w:val="28"/>
          <w:szCs w:val="28"/>
          <w:lang w:val="en-US" w:eastAsia="zh-CN"/>
        </w:rPr>
        <w:t>525.55</w:t>
      </w:r>
      <w:r>
        <w:rPr>
          <w:rFonts w:hint="eastAsia" w:ascii="仿宋_GB2312" w:eastAsia="仿宋_GB2312"/>
          <w:sz w:val="28"/>
          <w:szCs w:val="28"/>
        </w:rPr>
        <w:t>万元，下降</w:t>
      </w:r>
      <w:r>
        <w:rPr>
          <w:rFonts w:hint="eastAsia" w:ascii="仿宋_GB2312" w:eastAsia="仿宋_GB2312"/>
          <w:sz w:val="28"/>
          <w:szCs w:val="28"/>
          <w:lang w:val="en-US" w:eastAsia="zh-CN"/>
        </w:rPr>
        <w:t>31.57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财政拨款收入1139.1</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其中：一般公共预算财政拨款收入1139.10万元，占收入合计的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1167.1</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499.66</w:t>
      </w:r>
      <w:r>
        <w:rPr>
          <w:rFonts w:hint="eastAsia" w:ascii="仿宋_GB2312" w:eastAsia="仿宋_GB2312"/>
          <w:sz w:val="28"/>
          <w:szCs w:val="28"/>
        </w:rPr>
        <w:t>万元，下降</w:t>
      </w:r>
      <w:r>
        <w:rPr>
          <w:rFonts w:hint="eastAsia" w:ascii="仿宋_GB2312" w:eastAsia="仿宋_GB2312"/>
          <w:sz w:val="28"/>
          <w:szCs w:val="28"/>
          <w:lang w:val="en-US" w:eastAsia="zh-CN"/>
        </w:rPr>
        <w:t>29.98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417.11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35.74</w:t>
      </w:r>
      <w:r>
        <w:rPr>
          <w:rFonts w:hint="eastAsia" w:ascii="仿宋_GB2312" w:eastAsia="仿宋_GB2312"/>
          <w:sz w:val="28"/>
          <w:szCs w:val="28"/>
          <w:highlight w:val="none"/>
        </w:rPr>
        <w:t>%；项目支出</w:t>
      </w:r>
      <w:r>
        <w:rPr>
          <w:rFonts w:ascii="仿宋_GB2312" w:eastAsia="仿宋_GB2312"/>
          <w:sz w:val="28"/>
          <w:szCs w:val="28"/>
          <w:highlight w:val="none"/>
        </w:rPr>
        <w:t>749.99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64.26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2024年度财政拨款收入总计1139.10万元，比上年减少</w:t>
      </w:r>
      <w:r>
        <w:rPr>
          <w:rFonts w:hint="eastAsia" w:ascii="仿宋_GB2312" w:eastAsia="仿宋_GB2312"/>
          <w:sz w:val="28"/>
          <w:szCs w:val="28"/>
          <w:lang w:val="en-US" w:eastAsia="zh-CN"/>
        </w:rPr>
        <w:t>525.55</w:t>
      </w:r>
      <w:r>
        <w:rPr>
          <w:rFonts w:hint="eastAsia" w:ascii="仿宋_GB2312" w:eastAsia="仿宋_GB2312"/>
          <w:sz w:val="28"/>
          <w:szCs w:val="28"/>
        </w:rPr>
        <w:t>万元，下降</w:t>
      </w:r>
      <w:r>
        <w:rPr>
          <w:rFonts w:hint="eastAsia" w:ascii="仿宋_GB2312" w:eastAsia="仿宋_GB2312"/>
          <w:sz w:val="28"/>
          <w:szCs w:val="28"/>
          <w:lang w:val="en-US" w:eastAsia="zh-CN"/>
        </w:rPr>
        <w:t>31.57</w:t>
      </w:r>
      <w:r>
        <w:rPr>
          <w:rFonts w:hint="eastAsia" w:ascii="仿宋_GB2312" w:eastAsia="仿宋_GB2312"/>
          <w:sz w:val="28"/>
          <w:szCs w:val="28"/>
        </w:rPr>
        <w:t>%。主要原因：</w:t>
      </w:r>
      <w:r>
        <w:rPr>
          <w:rFonts w:hint="eastAsia" w:ascii="仿宋_GB2312" w:eastAsia="仿宋_GB2312"/>
          <w:sz w:val="28"/>
          <w:szCs w:val="28"/>
          <w:lang w:val="en-US" w:eastAsia="zh-CN"/>
        </w:rPr>
        <w:t>2024年新建园项目减少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年度财政拨款支出总计1167.10万元，比上年减少</w:t>
      </w:r>
      <w:r>
        <w:rPr>
          <w:rFonts w:hint="eastAsia" w:ascii="仿宋_GB2312" w:eastAsia="仿宋_GB2312"/>
          <w:sz w:val="28"/>
          <w:szCs w:val="28"/>
          <w:lang w:val="en-US" w:eastAsia="zh-CN"/>
        </w:rPr>
        <w:t>499.66</w:t>
      </w:r>
      <w:r>
        <w:rPr>
          <w:rFonts w:hint="eastAsia" w:ascii="仿宋_GB2312" w:eastAsia="仿宋_GB2312"/>
          <w:sz w:val="28"/>
          <w:szCs w:val="28"/>
        </w:rPr>
        <w:t>万元，下降</w:t>
      </w:r>
      <w:r>
        <w:rPr>
          <w:rFonts w:hint="eastAsia" w:ascii="仿宋_GB2312" w:eastAsia="仿宋_GB2312"/>
          <w:sz w:val="28"/>
          <w:szCs w:val="28"/>
          <w:lang w:val="en-US" w:eastAsia="zh-CN"/>
        </w:rPr>
        <w:t>29.98</w:t>
      </w:r>
      <w:r>
        <w:rPr>
          <w:rFonts w:hint="eastAsia" w:ascii="仿宋_GB2312" w:eastAsia="仿宋_GB2312"/>
          <w:sz w:val="28"/>
          <w:szCs w:val="28"/>
        </w:rPr>
        <w:t>%。主要原因：</w:t>
      </w:r>
      <w:r>
        <w:rPr>
          <w:rFonts w:hint="eastAsia" w:ascii="仿宋_GB2312" w:eastAsia="仿宋_GB2312"/>
          <w:sz w:val="28"/>
          <w:szCs w:val="28"/>
          <w:lang w:val="en-US" w:eastAsia="zh-CN"/>
        </w:rPr>
        <w:t>2024年新建园项目减少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年度一般公共预算财政拨款支出1167.1</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1073.49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91.98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color w:val="000000"/>
          <w:sz w:val="28"/>
          <w:szCs w:val="28"/>
          <w:highlight w:val="none"/>
        </w:rPr>
        <w:t>社会保障和就业支出</w:t>
      </w:r>
      <w:r>
        <w:rPr>
          <w:rFonts w:hint="eastAsia" w:ascii="仿宋_GB2312" w:eastAsia="仿宋_GB2312"/>
          <w:sz w:val="28"/>
          <w:szCs w:val="28"/>
        </w:rPr>
        <w:t>36.9</w:t>
      </w:r>
      <w:r>
        <w:rPr>
          <w:rFonts w:hint="eastAsia" w:ascii="仿宋_GB2312" w:eastAsia="仿宋_GB2312"/>
          <w:sz w:val="28"/>
          <w:szCs w:val="28"/>
          <w:lang w:val="en-US" w:eastAsia="zh-CN"/>
        </w:rPr>
        <w:t>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3.17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color w:val="000000"/>
          <w:sz w:val="28"/>
          <w:szCs w:val="28"/>
          <w:highlight w:val="none"/>
        </w:rPr>
        <w:t>卫生健康支出</w:t>
      </w:r>
      <w:r>
        <w:rPr>
          <w:rFonts w:hint="eastAsia" w:ascii="仿宋_GB2312" w:eastAsia="仿宋_GB2312"/>
          <w:sz w:val="28"/>
          <w:szCs w:val="28"/>
        </w:rPr>
        <w:t>28.61万元，占本年财政拨款支出</w:t>
      </w:r>
      <w:r>
        <w:rPr>
          <w:rFonts w:hint="eastAsia" w:ascii="仿宋_GB2312" w:eastAsia="仿宋_GB2312"/>
          <w:sz w:val="28"/>
          <w:szCs w:val="28"/>
          <w:lang w:val="en-US" w:eastAsia="zh-CN"/>
        </w:rPr>
        <w:t>2.45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color w:val="000000"/>
          <w:sz w:val="28"/>
          <w:szCs w:val="28"/>
          <w:highlight w:val="none"/>
        </w:rPr>
        <w:t>住房保障支出</w:t>
      </w:r>
      <w:r>
        <w:rPr>
          <w:rFonts w:hint="eastAsia" w:ascii="仿宋_GB2312" w:eastAsia="仿宋_GB2312"/>
          <w:sz w:val="28"/>
          <w:szCs w:val="28"/>
        </w:rPr>
        <w:t>28.</w:t>
      </w:r>
      <w:r>
        <w:rPr>
          <w:rFonts w:hint="eastAsia" w:ascii="仿宋_GB2312" w:eastAsia="仿宋_GB2312"/>
          <w:sz w:val="28"/>
          <w:szCs w:val="28"/>
          <w:lang w:val="en-US" w:eastAsia="zh-CN"/>
        </w:rPr>
        <w:t>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2.40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1029.32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1073.49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100.79</w:t>
      </w:r>
      <w:r>
        <w:rPr>
          <w:rFonts w:hint="eastAsia" w:ascii="仿宋_GB2312" w:eastAsia="仿宋_GB2312"/>
          <w:sz w:val="28"/>
          <w:szCs w:val="28"/>
        </w:rPr>
        <w:t>%。其中：</w:t>
      </w:r>
    </w:p>
    <w:p>
      <w:pPr>
        <w:tabs>
          <w:tab w:val="center" w:pos="6979"/>
        </w:tabs>
        <w:spacing w:line="580" w:lineRule="exact"/>
        <w:ind w:left="569" w:leftChars="266" w:hanging="11" w:hangingChars="4"/>
        <w:rPr>
          <w:rFonts w:hint="eastAsia" w:ascii="仿宋_GB2312" w:eastAsia="仿宋_GB2312"/>
          <w:sz w:val="28"/>
          <w:szCs w:val="28"/>
          <w:highlight w:val="none"/>
        </w:rPr>
      </w:pPr>
      <w:r>
        <w:rPr>
          <w:rFonts w:hint="eastAsia" w:ascii="仿宋_GB2312" w:eastAsia="仿宋_GB2312"/>
          <w:color w:val="000000"/>
          <w:sz w:val="28"/>
          <w:szCs w:val="28"/>
          <w:highlight w:val="none"/>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eastAsia="仿宋_GB2312"/>
          <w:color w:val="000000"/>
          <w:sz w:val="28"/>
          <w:szCs w:val="28"/>
          <w:highlight w:val="none"/>
        </w:rPr>
        <w:t>预算</w:t>
      </w:r>
      <w:r>
        <w:rPr>
          <w:rFonts w:hint="eastAsia" w:ascii="仿宋_GB2312" w:eastAsia="仿宋_GB2312"/>
          <w:color w:val="000000"/>
          <w:sz w:val="28"/>
          <w:szCs w:val="28"/>
          <w:highlight w:val="none"/>
          <w:lang w:val="en-US" w:eastAsia="zh-CN"/>
        </w:rPr>
        <w:t>1010.32</w:t>
      </w:r>
      <w:r>
        <w:rPr>
          <w:rFonts w:hint="eastAsia" w:ascii="仿宋_GB2312" w:eastAsia="仿宋_GB2312"/>
          <w:color w:val="000000"/>
          <w:sz w:val="28"/>
          <w:szCs w:val="28"/>
          <w:highlight w:val="none"/>
        </w:rPr>
        <w:t>万元，202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年度决算</w:t>
      </w:r>
      <w:r>
        <w:rPr>
          <w:rFonts w:hint="eastAsia" w:ascii="仿宋_GB2312" w:eastAsia="仿宋_GB2312"/>
          <w:sz w:val="28"/>
          <w:szCs w:val="28"/>
          <w:lang w:val="en-US" w:eastAsia="zh-CN"/>
        </w:rPr>
        <w:t>1055.18</w:t>
      </w:r>
      <w:r>
        <w:rPr>
          <w:rFonts w:hint="eastAsia" w:ascii="仿宋_GB2312" w:hAnsi="Times New Roman" w:eastAsia="仿宋_GB2312" w:cs="Times New Roman"/>
          <w:color w:val="000000"/>
          <w:sz w:val="28"/>
          <w:szCs w:val="28"/>
          <w:highlight w:val="none"/>
          <w:lang w:val="en-US" w:eastAsia="zh-CN"/>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104.44</w:t>
      </w:r>
      <w:r>
        <w:rPr>
          <w:rFonts w:hint="eastAsia" w:ascii="仿宋_GB2312" w:eastAsia="仿宋_GB2312"/>
          <w:sz w:val="28"/>
          <w:szCs w:val="28"/>
        </w:rPr>
        <w:t>%。主要原因：</w:t>
      </w:r>
      <w:r>
        <w:rPr>
          <w:rFonts w:hint="eastAsia" w:ascii="仿宋_GB2312" w:eastAsia="仿宋_GB2312"/>
          <w:sz w:val="28"/>
          <w:szCs w:val="28"/>
          <w:lang w:val="en-US" w:eastAsia="zh-CN"/>
        </w:rPr>
        <w:t>教师工资薪级增长、追加2024年临时辅助用工项目经费等</w:t>
      </w:r>
      <w:r>
        <w:rPr>
          <w:rFonts w:hint="eastAsia" w:ascii="仿宋_GB2312" w:eastAsia="仿宋_GB2312"/>
          <w:sz w:val="28"/>
          <w:szCs w:val="28"/>
          <w:highlight w:val="none"/>
        </w:rPr>
        <w:t>。</w:t>
      </w:r>
    </w:p>
    <w:p>
      <w:pPr>
        <w:tabs>
          <w:tab w:val="center" w:pos="6979"/>
        </w:tabs>
        <w:spacing w:line="580" w:lineRule="exact"/>
        <w:ind w:left="569" w:leftChars="266" w:hanging="11" w:hangingChars="4"/>
        <w:rPr>
          <w:rFonts w:hint="eastAsia" w:ascii="仿宋_GB2312" w:eastAsia="仿宋_GB2312"/>
          <w:sz w:val="28"/>
          <w:szCs w:val="28"/>
        </w:rPr>
      </w:pPr>
      <w:r>
        <w:rPr>
          <w:rFonts w:hint="eastAsia" w:ascii="仿宋_GB2312" w:eastAsia="仿宋_GB2312"/>
          <w:color w:val="000000"/>
          <w:sz w:val="28"/>
          <w:szCs w:val="28"/>
          <w:highlight w:val="none"/>
        </w:rPr>
        <w:t>“教育费附加安排的支出”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eastAsia="仿宋_GB2312"/>
          <w:color w:val="000000"/>
          <w:sz w:val="28"/>
          <w:szCs w:val="28"/>
          <w:highlight w:val="none"/>
        </w:rPr>
        <w:t>预算</w:t>
      </w:r>
      <w:r>
        <w:rPr>
          <w:rFonts w:hint="eastAsia" w:ascii="仿宋_GB2312" w:eastAsia="仿宋_GB2312"/>
          <w:color w:val="000000"/>
          <w:sz w:val="28"/>
          <w:szCs w:val="28"/>
          <w:highlight w:val="none"/>
          <w:lang w:val="en-US" w:eastAsia="zh-CN"/>
        </w:rPr>
        <w:t>19.00</w:t>
      </w:r>
      <w:r>
        <w:rPr>
          <w:rFonts w:hint="eastAsia" w:ascii="仿宋_GB2312" w:eastAsia="仿宋_GB2312"/>
          <w:color w:val="000000"/>
          <w:sz w:val="28"/>
          <w:szCs w:val="28"/>
          <w:highlight w:val="none"/>
        </w:rPr>
        <w:t>万元，202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年度决算</w:t>
      </w:r>
      <w:r>
        <w:rPr>
          <w:rFonts w:hint="eastAsia" w:ascii="仿宋_GB2312" w:eastAsia="仿宋_GB2312"/>
          <w:sz w:val="28"/>
          <w:szCs w:val="28"/>
          <w:lang w:val="en-US" w:eastAsia="zh-CN"/>
        </w:rPr>
        <w:t>18.31</w:t>
      </w:r>
      <w:r>
        <w:rPr>
          <w:rFonts w:hint="eastAsia" w:ascii="仿宋_GB2312" w:hAnsi="Times New Roman" w:eastAsia="仿宋_GB2312" w:cs="Times New Roman"/>
          <w:color w:val="000000"/>
          <w:sz w:val="28"/>
          <w:szCs w:val="28"/>
          <w:highlight w:val="none"/>
          <w:lang w:val="en-US" w:eastAsia="zh-CN"/>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96.37</w:t>
      </w:r>
      <w:r>
        <w:rPr>
          <w:rFonts w:hint="eastAsia" w:ascii="仿宋_GB2312" w:eastAsia="仿宋_GB2312"/>
          <w:sz w:val="28"/>
          <w:szCs w:val="28"/>
        </w:rPr>
        <w:t>%。主要原因：集中修缮-2024大兴区瀛海第五幼儿园新增安全隐患修缮项目</w:t>
      </w:r>
      <w:r>
        <w:rPr>
          <w:rFonts w:hint="eastAsia" w:ascii="仿宋_GB2312" w:eastAsia="仿宋_GB2312"/>
          <w:sz w:val="28"/>
          <w:szCs w:val="28"/>
          <w:lang w:val="en-US" w:eastAsia="zh-CN"/>
        </w:rPr>
        <w:t>实际使用金额为18.31万元</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000000"/>
          <w:sz w:val="28"/>
          <w:szCs w:val="28"/>
          <w:highlight w:val="none"/>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年度决算36.9</w:t>
      </w:r>
      <w:r>
        <w:rPr>
          <w:rFonts w:hint="eastAsia" w:ascii="仿宋_GB2312" w:eastAsia="仿宋_GB2312"/>
          <w:sz w:val="28"/>
          <w:szCs w:val="28"/>
          <w:lang w:val="en-US" w:eastAsia="zh-CN"/>
        </w:rPr>
        <w:t>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color w:val="000000"/>
          <w:sz w:val="28"/>
          <w:szCs w:val="28"/>
          <w:highlight w:val="none"/>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eastAsia="仿宋_GB2312"/>
          <w:color w:val="000000"/>
          <w:sz w:val="28"/>
          <w:szCs w:val="28"/>
          <w:highlight w:val="none"/>
        </w:rPr>
        <w:t>预算</w:t>
      </w:r>
      <w:r>
        <w:rPr>
          <w:rFonts w:hint="eastAsia" w:ascii="仿宋_GB2312" w:eastAsia="仿宋_GB2312"/>
          <w:sz w:val="28"/>
          <w:szCs w:val="28"/>
          <w:lang w:val="en-US" w:eastAsia="zh-CN"/>
        </w:rPr>
        <w:t>36.99</w:t>
      </w:r>
      <w:r>
        <w:rPr>
          <w:rFonts w:hint="eastAsia" w:ascii="仿宋_GB2312" w:eastAsia="仿宋_GB2312"/>
          <w:color w:val="000000"/>
          <w:sz w:val="28"/>
          <w:szCs w:val="28"/>
          <w:highlight w:val="none"/>
        </w:rPr>
        <w:t>万元，202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年度决算</w:t>
      </w:r>
      <w:r>
        <w:rPr>
          <w:rFonts w:hint="eastAsia" w:ascii="仿宋_GB2312" w:eastAsia="仿宋_GB2312"/>
          <w:sz w:val="28"/>
          <w:szCs w:val="28"/>
          <w:lang w:val="en-US" w:eastAsia="zh-CN"/>
        </w:rPr>
        <w:t>36.99</w:t>
      </w:r>
      <w:r>
        <w:rPr>
          <w:rFonts w:hint="eastAsia" w:ascii="仿宋_GB2312" w:hAnsi="Times New Roman" w:eastAsia="仿宋_GB2312" w:cs="Times New Roman"/>
          <w:color w:val="000000"/>
          <w:sz w:val="28"/>
          <w:szCs w:val="28"/>
          <w:highlight w:val="none"/>
          <w:lang w:val="en-US" w:eastAsia="zh-CN"/>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color w:val="000000"/>
          <w:sz w:val="28"/>
          <w:szCs w:val="28"/>
          <w:highlight w:val="none"/>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年度决算28.61万元，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r>
        <w:rPr>
          <w:rFonts w:hint="eastAsia" w:ascii="仿宋_GB2312" w:eastAsia="仿宋_GB2312"/>
          <w:sz w:val="28"/>
          <w:szCs w:val="28"/>
          <w:lang w:eastAsia="zh-CN"/>
        </w:rPr>
        <w:t>：</w:t>
      </w:r>
    </w:p>
    <w:p>
      <w:pPr>
        <w:numPr>
          <w:ilvl w:val="0"/>
          <w:numId w:val="0"/>
        </w:numPr>
        <w:autoSpaceDE w:val="0"/>
        <w:autoSpaceDN w:val="0"/>
        <w:adjustRightInd w:val="0"/>
        <w:spacing w:line="580" w:lineRule="exact"/>
        <w:ind w:left="558" w:leftChars="266" w:firstLine="0" w:firstLineChars="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28.61万元，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numPr>
          <w:ilvl w:val="0"/>
          <w:numId w:val="1"/>
        </w:numPr>
        <w:autoSpaceDE w:val="0"/>
        <w:autoSpaceDN w:val="0"/>
        <w:adjustRightInd w:val="0"/>
        <w:spacing w:line="580" w:lineRule="exact"/>
        <w:ind w:left="0" w:leftChars="0" w:firstLine="560" w:firstLineChars="200"/>
        <w:jc w:val="left"/>
        <w:rPr>
          <w:rFonts w:hint="eastAsia" w:ascii="仿宋_GB2312" w:eastAsia="仿宋_GB2312"/>
          <w:sz w:val="28"/>
          <w:szCs w:val="28"/>
          <w:lang w:eastAsia="zh-CN"/>
        </w:rPr>
      </w:pPr>
      <w:r>
        <w:rPr>
          <w:rFonts w:hint="eastAsia" w:ascii="仿宋_GB2312" w:eastAsia="仿宋_GB2312"/>
          <w:color w:val="000000"/>
          <w:sz w:val="28"/>
          <w:szCs w:val="28"/>
          <w:highlight w:val="none"/>
        </w:rPr>
        <w:t>“住房保障支出”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年度决算28.</w:t>
      </w:r>
      <w:r>
        <w:rPr>
          <w:rFonts w:hint="eastAsia" w:ascii="仿宋_GB2312" w:eastAsia="仿宋_GB2312"/>
          <w:sz w:val="28"/>
          <w:szCs w:val="28"/>
          <w:lang w:val="en-US" w:eastAsia="zh-CN"/>
        </w:rPr>
        <w:t>00</w:t>
      </w:r>
      <w:r>
        <w:rPr>
          <w:rFonts w:hint="eastAsia" w:ascii="仿宋_GB2312" w:eastAsia="仿宋_GB2312"/>
          <w:sz w:val="28"/>
          <w:szCs w:val="28"/>
        </w:rPr>
        <w:t>万元。其中</w:t>
      </w:r>
      <w:r>
        <w:rPr>
          <w:rFonts w:hint="eastAsia" w:ascii="仿宋_GB2312" w:eastAsia="仿宋_GB2312"/>
          <w:sz w:val="28"/>
          <w:szCs w:val="28"/>
          <w:lang w:eastAsia="zh-CN"/>
        </w:rPr>
        <w:t>：</w:t>
      </w:r>
    </w:p>
    <w:p>
      <w:pPr>
        <w:numPr>
          <w:ilvl w:val="0"/>
          <w:numId w:val="0"/>
        </w:numPr>
        <w:autoSpaceDE w:val="0"/>
        <w:autoSpaceDN w:val="0"/>
        <w:adjustRightInd w:val="0"/>
        <w:spacing w:line="580" w:lineRule="exact"/>
        <w:ind w:leftChars="200"/>
        <w:jc w:val="left"/>
        <w:rPr>
          <w:rFonts w:hint="eastAsia" w:ascii="仿宋_GB2312" w:eastAsia="仿宋_GB2312"/>
          <w:sz w:val="28"/>
          <w:szCs w:val="28"/>
          <w:lang w:val="en-US" w:eastAsia="zh-CN"/>
        </w:rPr>
      </w:pPr>
      <w:r>
        <w:rPr>
          <w:rFonts w:hint="eastAsia" w:ascii="仿宋_GB2312" w:eastAsia="仿宋_GB2312"/>
          <w:sz w:val="28"/>
          <w:szCs w:val="28"/>
        </w:rPr>
        <w:t>“住房改革支出”202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年度决算28.</w:t>
      </w:r>
      <w:r>
        <w:rPr>
          <w:rFonts w:hint="eastAsia" w:ascii="仿宋_GB2312" w:eastAsia="仿宋_GB2312"/>
          <w:sz w:val="28"/>
          <w:szCs w:val="28"/>
          <w:lang w:val="en-US" w:eastAsia="zh-CN"/>
        </w:rPr>
        <w:t>00万元</w:t>
      </w:r>
      <w:r>
        <w:rPr>
          <w:rFonts w:hint="eastAsia" w:ascii="仿宋_GB2312" w:eastAsia="仿宋_GB2312"/>
          <w:sz w:val="28"/>
          <w:szCs w:val="28"/>
        </w:rPr>
        <w:t>。主要原因：</w:t>
      </w:r>
      <w:r>
        <w:rPr>
          <w:rFonts w:hint="eastAsia" w:ascii="仿宋_GB2312" w:eastAsia="仿宋_GB2312"/>
          <w:sz w:val="28"/>
          <w:szCs w:val="28"/>
          <w:lang w:val="en-US" w:eastAsia="zh-CN"/>
        </w:rPr>
        <w:t>用于支付年初补发购房补贴。</w:t>
      </w:r>
    </w:p>
    <w:p>
      <w:pPr>
        <w:numPr>
          <w:ilvl w:val="0"/>
          <w:numId w:val="0"/>
        </w:numPr>
        <w:autoSpaceDE w:val="0"/>
        <w:autoSpaceDN w:val="0"/>
        <w:adjustRightInd w:val="0"/>
        <w:spacing w:line="580" w:lineRule="exact"/>
        <w:ind w:left="558" w:leftChars="266" w:firstLine="0" w:firstLineChars="0"/>
        <w:jc w:val="left"/>
        <w:rPr>
          <w:rFonts w:hint="eastAsia" w:ascii="仿宋_GB2312" w:eastAsia="仿宋_GB2312"/>
          <w:sz w:val="28"/>
          <w:szCs w:val="28"/>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本单位2024年度无政府性基金预算财政拨款支出。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2024年度国有资本经营预算财政拨款收入总计0万元，国有资本经营预算财政拨款支出总计0万元。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lang w:val="en-US" w:eastAsia="zh-CN"/>
        </w:rPr>
        <w:t>2024年度使用一般公共预算财政拨款安排基本支出417.11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w:t>
      </w:r>
      <w:r>
        <w:rPr>
          <w:rFonts w:ascii="仿宋_GB2312" w:eastAsia="仿宋_GB2312"/>
          <w:sz w:val="28"/>
          <w:szCs w:val="28"/>
        </w:rPr>
        <w:t>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spacing w:line="580" w:lineRule="exact"/>
        <w:ind w:firstLine="548" w:firstLineChars="196"/>
        <w:rPr>
          <w:rFonts w:ascii="仿宋_GB2312" w:eastAsia="仿宋_GB2312"/>
          <w:sz w:val="28"/>
          <w:szCs w:val="28"/>
        </w:rPr>
      </w:pPr>
    </w:p>
    <w:p>
      <w:pPr>
        <w:tabs>
          <w:tab w:val="center" w:pos="6979"/>
        </w:tabs>
        <w:spacing w:line="580" w:lineRule="exact"/>
        <w:ind w:firstLine="548" w:firstLineChars="196"/>
        <w:rPr>
          <w:rFonts w:hint="eastAsia" w:ascii="仿宋_GB2312" w:eastAsia="仿宋_GB2312"/>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2024年度“三公”经费财政拨款决算数0.99万元，比2024年度“三公”经费财政拨款年初预算0.1万元增加0.89万元。其中：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lang w:val="en-US" w:eastAsia="zh-CN"/>
        </w:rPr>
        <w:t>1.因公出国（境）费用。2024年度决算数0万元，比2024年度年初预算数0万元无增减。主要原因：</w:t>
      </w:r>
      <w:r>
        <w:rPr>
          <w:rFonts w:hint="eastAsia" w:ascii="仿宋_GB2312" w:eastAsia="仿宋_GB2312"/>
          <w:sz w:val="28"/>
          <w:szCs w:val="28"/>
        </w:rPr>
        <w:t>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2.公务接待费。2024年度决算数0万元，比2024年度年初预算数0.10万元减少0.10万元。主要原因：无公务接待费用产生。2024年度未发生公务接待费。公务接待0批次，公务接待0人次。</w:t>
      </w:r>
    </w:p>
    <w:p>
      <w:pPr>
        <w:tabs>
          <w:tab w:val="center" w:pos="6979"/>
        </w:tabs>
        <w:spacing w:line="580" w:lineRule="exact"/>
        <w:ind w:firstLine="548" w:firstLineChars="196"/>
        <w:rPr>
          <w:rFonts w:hint="eastAsia" w:ascii="仿宋_GB2312" w:eastAsia="仿宋_GB2312"/>
          <w:sz w:val="28"/>
          <w:szCs w:val="28"/>
          <w:lang w:val="en-US" w:eastAsia="zh-CN"/>
        </w:rPr>
      </w:pPr>
      <w:bookmarkStart w:id="0" w:name="OLE_LINK1"/>
      <w:r>
        <w:rPr>
          <w:rFonts w:hint="eastAsia" w:ascii="仿宋_GB2312" w:eastAsia="仿宋_GB2312"/>
          <w:sz w:val="28"/>
          <w:szCs w:val="28"/>
          <w:lang w:val="en-US" w:eastAsia="zh-CN"/>
        </w:rPr>
        <w:t>3.公务用车购置及运行维护费。2024年度决算数0.99万元，比2024年度年初预算数0万元增加0.99万元。其中，公务用车购置费2024年度决算数0万元，主要原因：无新车购置，2024年度购置（更新）0辆。公务用车运行维护费2024年度决算数0.99万元，主要原因：2023年新购公务车于2024年提车，追加公务用车运行维护费，用于保险等支出。2024年度公务用车保有量1辆。</w:t>
      </w:r>
    </w:p>
    <w:bookmarkEnd w:id="0"/>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我单位不在机关运行经费统计范围之内。</w:t>
      </w:r>
      <w:bookmarkStart w:id="1" w:name="_GoBack"/>
      <w:bookmarkEnd w:id="1"/>
    </w:p>
    <w:p>
      <w:pPr>
        <w:ind w:left="540"/>
        <w:rPr>
          <w:rFonts w:hint="eastAsia" w:ascii="黑体" w:eastAsia="黑体"/>
          <w:sz w:val="28"/>
          <w:szCs w:val="28"/>
        </w:rPr>
      </w:pPr>
      <w:r>
        <w:rPr>
          <w:rFonts w:hint="eastAsia" w:ascii="黑体" w:eastAsia="黑体"/>
          <w:sz w:val="28"/>
          <w:szCs w:val="28"/>
        </w:rPr>
        <w:t>三、政府采购支出情况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年度政府采购支出总额1.86万元，其中：政府采购货物支出</w:t>
      </w:r>
      <w:r>
        <w:rPr>
          <w:rFonts w:hint="eastAsia" w:ascii="仿宋_GB2312" w:eastAsia="仿宋_GB2312"/>
          <w:sz w:val="28"/>
          <w:szCs w:val="28"/>
          <w:lang w:val="en-US" w:eastAsia="zh-CN"/>
        </w:rPr>
        <w:t>0.48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1.38</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万元。授予中小企业合同金额0万元，占政府采购支出总额的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%，其中：授予小微企业合同金额0万元，占政府采购支出总额的0%。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12月31日，北京市大兴区瀛海第五幼儿园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jc w:val="both"/>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jc w:val="both"/>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.教育支出（类）普通教育（款）学前教育（项）：反映各部门举办的学前教育支出。政府各部门对社会组织等举办的幼儿园的资助，如捐赠、补贴等，也在本科目中反映。</w:t>
      </w:r>
    </w:p>
    <w:p>
      <w:pPr>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教育支出（类）普通教育（款）</w:t>
      </w:r>
      <w:r>
        <w:rPr>
          <w:rFonts w:hint="eastAsia" w:ascii="仿宋_GB2312" w:eastAsia="仿宋_GB2312"/>
          <w:sz w:val="28"/>
          <w:szCs w:val="28"/>
          <w:lang w:val="en-US" w:eastAsia="zh-CN"/>
        </w:rPr>
        <w:t>教育费附加安排的支出</w:t>
      </w:r>
      <w:r>
        <w:rPr>
          <w:rFonts w:hint="eastAsia" w:ascii="仿宋_GB2312" w:eastAsia="仿宋_GB2312"/>
          <w:sz w:val="28"/>
          <w:szCs w:val="28"/>
        </w:rPr>
        <w:t>（项）：反映</w:t>
      </w:r>
      <w:r>
        <w:rPr>
          <w:rFonts w:hint="eastAsia" w:ascii="仿宋_GB2312" w:eastAsia="仿宋_GB2312"/>
          <w:sz w:val="28"/>
          <w:szCs w:val="28"/>
          <w:lang w:val="en-US" w:eastAsia="zh-CN"/>
        </w:rPr>
        <w:t>用于</w:t>
      </w:r>
      <w:r>
        <w:rPr>
          <w:rFonts w:hint="eastAsia" w:ascii="仿宋_GB2312" w:eastAsia="仿宋_GB2312"/>
          <w:sz w:val="28"/>
          <w:szCs w:val="28"/>
        </w:rPr>
        <w:t>集中修缮幼儿园安全隐患项目方面的支出。</w:t>
      </w:r>
    </w:p>
    <w:p>
      <w:pPr>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.社会保障和就业支出（类）行政事业单位养老支出（款）事业单位离退休（项）：反映事业单位开支的离退休经费</w:t>
      </w:r>
    </w:p>
    <w:p>
      <w:pPr>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pPr>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jc w:val="both"/>
        <w:rPr>
          <w:rFonts w:hint="eastAsia" w:ascii="黑体" w:eastAsia="黑体"/>
          <w:sz w:val="32"/>
          <w:szCs w:val="32"/>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.卫生健康支出（类）行政事业单位医疗（款）公务员医疗补助（项）：反映财政部门安排的公务员医疗补助经费。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404FB6"/>
    <w:multiLevelType w:val="singleLevel"/>
    <w:tmpl w:val="F9404FB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749DE"/>
    <w:rsid w:val="020C4532"/>
    <w:rsid w:val="02F120AB"/>
    <w:rsid w:val="032B5196"/>
    <w:rsid w:val="04C3537C"/>
    <w:rsid w:val="068E5516"/>
    <w:rsid w:val="079004AC"/>
    <w:rsid w:val="0BA148CA"/>
    <w:rsid w:val="0C1165C4"/>
    <w:rsid w:val="0D6D544B"/>
    <w:rsid w:val="0DD136FE"/>
    <w:rsid w:val="0E146C48"/>
    <w:rsid w:val="0F542F2C"/>
    <w:rsid w:val="0F8E2C57"/>
    <w:rsid w:val="1059665E"/>
    <w:rsid w:val="10AC13BA"/>
    <w:rsid w:val="11733C86"/>
    <w:rsid w:val="129640D0"/>
    <w:rsid w:val="13B567D8"/>
    <w:rsid w:val="145A6C1B"/>
    <w:rsid w:val="14B73493"/>
    <w:rsid w:val="167A2FF9"/>
    <w:rsid w:val="1764587C"/>
    <w:rsid w:val="18581C69"/>
    <w:rsid w:val="19DC4392"/>
    <w:rsid w:val="1AEC0734"/>
    <w:rsid w:val="1B9175FC"/>
    <w:rsid w:val="1DEF20B0"/>
    <w:rsid w:val="1FF7AB17"/>
    <w:rsid w:val="20623843"/>
    <w:rsid w:val="214243FA"/>
    <w:rsid w:val="21AD613C"/>
    <w:rsid w:val="22467189"/>
    <w:rsid w:val="23C36FF2"/>
    <w:rsid w:val="243F3E9B"/>
    <w:rsid w:val="24CD7C39"/>
    <w:rsid w:val="257A14F5"/>
    <w:rsid w:val="260D5E87"/>
    <w:rsid w:val="27196C26"/>
    <w:rsid w:val="29EF086F"/>
    <w:rsid w:val="2A286EDD"/>
    <w:rsid w:val="2BC34C59"/>
    <w:rsid w:val="2CD65D5F"/>
    <w:rsid w:val="2E9C2616"/>
    <w:rsid w:val="2EFFE297"/>
    <w:rsid w:val="2F46773B"/>
    <w:rsid w:val="301437CA"/>
    <w:rsid w:val="33E300C8"/>
    <w:rsid w:val="344A041F"/>
    <w:rsid w:val="349D1F0A"/>
    <w:rsid w:val="34DD0473"/>
    <w:rsid w:val="39897C3B"/>
    <w:rsid w:val="3A8E35DC"/>
    <w:rsid w:val="3C684897"/>
    <w:rsid w:val="3D6E1622"/>
    <w:rsid w:val="3F591A7D"/>
    <w:rsid w:val="41856A10"/>
    <w:rsid w:val="42750D38"/>
    <w:rsid w:val="433E495C"/>
    <w:rsid w:val="46E757AE"/>
    <w:rsid w:val="489F2FD7"/>
    <w:rsid w:val="4AC27CB3"/>
    <w:rsid w:val="4BF72BEF"/>
    <w:rsid w:val="4FA90297"/>
    <w:rsid w:val="4FC41A43"/>
    <w:rsid w:val="51DB3C59"/>
    <w:rsid w:val="550C0952"/>
    <w:rsid w:val="553700F3"/>
    <w:rsid w:val="55762E42"/>
    <w:rsid w:val="566B7538"/>
    <w:rsid w:val="57A7B272"/>
    <w:rsid w:val="58470068"/>
    <w:rsid w:val="58747CAC"/>
    <w:rsid w:val="5A1720F9"/>
    <w:rsid w:val="5B296730"/>
    <w:rsid w:val="5B9C37C2"/>
    <w:rsid w:val="5BA7C654"/>
    <w:rsid w:val="5DF716AE"/>
    <w:rsid w:val="5F8D3732"/>
    <w:rsid w:val="5F9F507E"/>
    <w:rsid w:val="60A54109"/>
    <w:rsid w:val="61D01CDF"/>
    <w:rsid w:val="634C4EB1"/>
    <w:rsid w:val="64C0607C"/>
    <w:rsid w:val="65756C86"/>
    <w:rsid w:val="665E7BD6"/>
    <w:rsid w:val="674D385B"/>
    <w:rsid w:val="676F09E1"/>
    <w:rsid w:val="6BD846D2"/>
    <w:rsid w:val="6D8F09D9"/>
    <w:rsid w:val="71691990"/>
    <w:rsid w:val="71793A80"/>
    <w:rsid w:val="7357290B"/>
    <w:rsid w:val="756E3DEA"/>
    <w:rsid w:val="76FB1693"/>
    <w:rsid w:val="77736A03"/>
    <w:rsid w:val="798524E4"/>
    <w:rsid w:val="7A7F1C49"/>
    <w:rsid w:val="7B5B7AE6"/>
    <w:rsid w:val="7B7B6628"/>
    <w:rsid w:val="7BA7071E"/>
    <w:rsid w:val="7BDF6DA8"/>
    <w:rsid w:val="7C7EDC1A"/>
    <w:rsid w:val="7CCED98D"/>
    <w:rsid w:val="7D0746CC"/>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1139.1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417.11</c:v>
                </c:pt>
                <c:pt idx="1">
                  <c:v>749.99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3062</Words>
  <Characters>3588</Characters>
  <Lines>44</Lines>
  <Paragraphs>12</Paragraphs>
  <TotalTime>6</TotalTime>
  <ScaleCrop>false</ScaleCrop>
  <LinksUpToDate>false</LinksUpToDate>
  <CharactersWithSpaces>3608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2025-11-06T09:07:41Z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eyJoZGlkIjoiMTRhNDFlMGQ5MjM3MDU1ZmFiNzViMzI5MjYxZmQyZTciLCJ1c2VySWQiOiI0MzIyMzc5MTkifQ==</vt:lpwstr>
  </property>
</Properties>
</file>