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eastAsia="黑体"/>
          <w:sz w:val="72"/>
          <w:szCs w:val="72"/>
        </w:rPr>
      </w:pPr>
    </w:p>
    <w:p>
      <w:pPr>
        <w:rPr>
          <w:rFonts w:hint="eastAsia" w:ascii="黑体" w:eastAsia="黑体"/>
          <w:sz w:val="72"/>
          <w:szCs w:val="72"/>
        </w:rPr>
      </w:pPr>
    </w:p>
    <w:p>
      <w:pPr>
        <w:pStyle w:val="2"/>
        <w:rPr>
          <w:rFonts w:hint="eastAsia"/>
        </w:rPr>
      </w:pPr>
    </w:p>
    <w:p>
      <w:pPr>
        <w:jc w:val="center"/>
        <w:rPr>
          <w:rFonts w:ascii="黑体" w:eastAsia="黑体"/>
          <w:sz w:val="72"/>
          <w:szCs w:val="72"/>
        </w:rPr>
      </w:pPr>
      <w:r>
        <w:rPr>
          <w:rFonts w:hint="eastAsia" w:ascii="黑体" w:eastAsia="黑体"/>
          <w:sz w:val="72"/>
          <w:szCs w:val="72"/>
        </w:rPr>
        <w:t>北京市大兴区</w:t>
      </w:r>
      <w:r>
        <w:rPr>
          <w:rFonts w:hint="eastAsia" w:ascii="黑体" w:eastAsia="黑体"/>
          <w:sz w:val="72"/>
          <w:szCs w:val="72"/>
          <w:lang w:val="en-US" w:eastAsia="zh-CN"/>
        </w:rPr>
        <w:t>瀛海第六幼儿园</w:t>
      </w: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pStyle w:val="2"/>
      </w:pPr>
    </w:p>
    <w:p>
      <w:pPr>
        <w:jc w:val="center"/>
        <w:rPr>
          <w:rFonts w:ascii="黑体" w:eastAsia="黑体"/>
          <w:sz w:val="52"/>
          <w:szCs w:val="52"/>
        </w:rPr>
      </w:pPr>
    </w:p>
    <w:p>
      <w:pPr>
        <w:jc w:val="both"/>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pPr>
        <w:tabs>
          <w:tab w:val="center" w:pos="6979"/>
        </w:tabs>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单位职责：为本地学龄前儿童提供优质的保育教育服务。</w:t>
      </w:r>
    </w:p>
    <w:p>
      <w:pPr>
        <w:tabs>
          <w:tab w:val="center" w:pos="6979"/>
        </w:tabs>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机构设置情况：部门设置为：园长室、主任室、财务室、保健室。幼儿园设置12个班，目前有小班4个，中班2个，大班1个，共计开设7个班级。</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2024年度收</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支</w:t>
      </w:r>
      <w:r>
        <w:rPr>
          <w:rFonts w:hint="eastAsia" w:ascii="仿宋_GB2312" w:eastAsia="仿宋_GB2312"/>
          <w:sz w:val="28"/>
          <w:szCs w:val="28"/>
          <w:highlight w:val="none"/>
        </w:rPr>
        <w:t>总计</w:t>
      </w:r>
      <w:r>
        <w:rPr>
          <w:rFonts w:hint="eastAsia" w:ascii="仿宋_GB2312" w:eastAsia="仿宋_GB2312"/>
          <w:sz w:val="28"/>
          <w:szCs w:val="28"/>
          <w:highlight w:val="none"/>
          <w:lang w:val="en-US" w:eastAsia="zh-CN"/>
        </w:rPr>
        <w:t>200.56</w:t>
      </w:r>
      <w:r>
        <w:rPr>
          <w:rFonts w:hint="eastAsia" w:ascii="仿宋_GB2312" w:eastAsia="仿宋_GB2312"/>
          <w:sz w:val="28"/>
          <w:szCs w:val="28"/>
          <w:highlight w:val="none"/>
        </w:rPr>
        <w:t>万元，</w:t>
      </w:r>
      <w:r>
        <w:rPr>
          <w:rFonts w:ascii="仿宋_GB2312" w:eastAsia="仿宋_GB2312"/>
          <w:sz w:val="28"/>
          <w:szCs w:val="28"/>
          <w:highlight w:val="none"/>
        </w:rPr>
        <w:t>比上年增加</w:t>
      </w:r>
      <w:r>
        <w:rPr>
          <w:rFonts w:hint="eastAsia" w:ascii="仿宋_GB2312" w:eastAsia="仿宋_GB2312"/>
          <w:sz w:val="28"/>
          <w:szCs w:val="28"/>
          <w:highlight w:val="none"/>
          <w:lang w:val="en-US" w:eastAsia="zh-CN"/>
        </w:rPr>
        <w:t>200.56</w:t>
      </w:r>
      <w:r>
        <w:rPr>
          <w:rFonts w:hint="eastAsia" w:ascii="仿宋_GB2312" w:eastAsia="仿宋_GB2312"/>
          <w:sz w:val="28"/>
          <w:szCs w:val="28"/>
          <w:highlight w:val="none"/>
        </w:rPr>
        <w:t>万元，增长</w:t>
      </w:r>
      <w:r>
        <w:rPr>
          <w:rFonts w:hint="eastAsia" w:ascii="仿宋_GB2312" w:eastAsia="仿宋_GB2312"/>
          <w:sz w:val="28"/>
          <w:szCs w:val="28"/>
          <w:highlight w:val="none"/>
          <w:lang w:val="en-US" w:eastAsia="zh-CN"/>
        </w:rPr>
        <w:t>100</w:t>
      </w:r>
      <w:r>
        <w:rPr>
          <w:rFonts w:hint="eastAsia" w:ascii="仿宋_GB2312" w:eastAsia="仿宋_GB2312"/>
          <w:sz w:val="28"/>
          <w:szCs w:val="28"/>
          <w:highlight w:val="none"/>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200.56</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200.56</w:t>
      </w:r>
      <w:r>
        <w:rPr>
          <w:rFonts w:hint="eastAsia" w:ascii="仿宋_GB2312" w:eastAsia="仿宋_GB2312"/>
          <w:sz w:val="28"/>
          <w:szCs w:val="28"/>
        </w:rPr>
        <w:t>万元，增长</w:t>
      </w:r>
      <w:r>
        <w:rPr>
          <w:rFonts w:hint="eastAsia" w:ascii="仿宋_GB2312" w:eastAsia="仿宋_GB2312"/>
          <w:sz w:val="28"/>
          <w:szCs w:val="28"/>
          <w:lang w:val="en-US" w:eastAsia="zh-CN"/>
        </w:rPr>
        <w:t>100</w:t>
      </w:r>
      <w:r>
        <w:rPr>
          <w:rFonts w:hint="eastAsia" w:ascii="仿宋_GB2312" w:eastAsia="仿宋_GB2312"/>
          <w:sz w:val="28"/>
          <w:szCs w:val="28"/>
        </w:rPr>
        <w:t>%</w:t>
      </w:r>
      <w:r>
        <w:rPr>
          <w:rFonts w:hint="eastAsia" w:ascii="仿宋_GB2312" w:eastAsia="仿宋_GB2312"/>
          <w:sz w:val="28"/>
          <w:szCs w:val="28"/>
          <w:lang w:eastAsia="zh-CN"/>
        </w:rPr>
        <w:t>。</w:t>
      </w:r>
    </w:p>
    <w:p>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200.56</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hint="eastAsia" w:ascii="仿宋_GB2312" w:eastAsia="仿宋_GB2312"/>
          <w:sz w:val="28"/>
          <w:szCs w:val="28"/>
          <w:lang w:val="en-US" w:eastAsia="zh-CN"/>
        </w:rPr>
        <w:t>200.56</w:t>
      </w:r>
      <w:r>
        <w:rPr>
          <w:rFonts w:hint="eastAsia" w:ascii="仿宋_GB2312" w:eastAsia="仿宋_GB2312"/>
          <w:sz w:val="28"/>
          <w:szCs w:val="28"/>
        </w:rPr>
        <w:t>万元，占收入合计的</w:t>
      </w:r>
      <w:r>
        <w:rPr>
          <w:rFonts w:hint="eastAsia" w:ascii="仿宋_GB2312" w:eastAsia="仿宋_GB2312"/>
          <w:sz w:val="28"/>
          <w:szCs w:val="28"/>
          <w:lang w:val="en-US" w:eastAsia="zh-CN"/>
        </w:rPr>
        <w:t>100</w:t>
      </w:r>
      <w:r>
        <w:rPr>
          <w:rFonts w:hint="eastAsia" w:ascii="仿宋_GB2312" w:eastAsia="仿宋_GB2312"/>
          <w:sz w:val="28"/>
          <w:szCs w:val="28"/>
          <w:highlight w:val="none"/>
        </w:rPr>
        <w:t>%；</w:t>
      </w:r>
      <w:r>
        <w:rPr>
          <w:rFonts w:hint="eastAsia" w:ascii="仿宋_GB2312" w:eastAsia="仿宋_GB2312"/>
          <w:sz w:val="28"/>
          <w:szCs w:val="28"/>
          <w:lang w:eastAsia="zh-CN"/>
        </w:rPr>
        <w:t>政府性基金预算财政拨款收入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color w:val="auto"/>
          <w:sz w:val="28"/>
          <w:szCs w:val="28"/>
          <w:highlight w:val="none"/>
        </w:rPr>
        <w:t>%</w:t>
      </w:r>
      <w:r>
        <w:rPr>
          <w:rFonts w:hint="eastAsia" w:ascii="仿宋_GB2312" w:eastAsia="仿宋_GB2312"/>
          <w:sz w:val="28"/>
          <w:szCs w:val="28"/>
          <w:highlight w:val="none"/>
        </w:rPr>
        <w:t>；</w:t>
      </w:r>
      <w:r>
        <w:rPr>
          <w:rFonts w:hint="eastAsia" w:ascii="仿宋_GB2312" w:eastAsia="仿宋_GB2312"/>
          <w:sz w:val="28"/>
          <w:szCs w:val="28"/>
          <w:lang w:eastAsia="zh-CN"/>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pStyle w:val="2"/>
        <w:ind w:firstLine="0"/>
        <w:jc w:val="center"/>
      </w:pPr>
      <w:r>
        <w:rPr>
          <w:rFonts w:hint="eastAsia" w:ascii="仿宋_GB2312" w:eastAsia="仿宋_GB2312"/>
          <w:color w:val="000000"/>
          <w:sz w:val="32"/>
          <w:szCs w:val="32"/>
          <w:highlight w:val="none"/>
          <w:lang w:val="en-US" w:eastAsia="zh-CN"/>
        </w:rPr>
        <w:t>图1：收入决算</w:t>
      </w:r>
    </w:p>
    <w:p>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200.56</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200.56</w:t>
      </w:r>
      <w:r>
        <w:rPr>
          <w:rFonts w:hint="eastAsia" w:ascii="仿宋_GB2312" w:eastAsia="仿宋_GB2312"/>
          <w:sz w:val="28"/>
          <w:szCs w:val="28"/>
        </w:rPr>
        <w:t>万元，增长</w:t>
      </w:r>
      <w:r>
        <w:rPr>
          <w:rFonts w:hint="eastAsia" w:ascii="仿宋_GB2312" w:eastAsia="仿宋_GB2312"/>
          <w:sz w:val="28"/>
          <w:szCs w:val="28"/>
          <w:lang w:val="en-US" w:eastAsia="zh-CN"/>
        </w:rPr>
        <w:t>100</w:t>
      </w:r>
      <w:r>
        <w:rPr>
          <w:rFonts w:hint="eastAsia" w:ascii="仿宋_GB2312" w:eastAsia="仿宋_GB2312"/>
          <w:sz w:val="28"/>
          <w:szCs w:val="28"/>
        </w:rPr>
        <w:t>%，其中：基本支</w:t>
      </w:r>
      <w:r>
        <w:rPr>
          <w:rFonts w:hint="eastAsia" w:ascii="仿宋_GB2312" w:eastAsia="仿宋_GB2312"/>
          <w:sz w:val="28"/>
          <w:szCs w:val="28"/>
          <w:highlight w:val="none"/>
        </w:rPr>
        <w:t>出</w:t>
      </w:r>
      <w:r>
        <w:rPr>
          <w:rFonts w:ascii="仿宋_GB2312" w:eastAsia="仿宋_GB2312"/>
          <w:sz w:val="28"/>
          <w:szCs w:val="28"/>
          <w:highlight w:val="none"/>
        </w:rPr>
        <w:t>33.39</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16.65</w:t>
      </w:r>
      <w:r>
        <w:rPr>
          <w:rFonts w:hint="eastAsia" w:ascii="仿宋_GB2312" w:eastAsia="仿宋_GB2312"/>
          <w:sz w:val="28"/>
          <w:szCs w:val="28"/>
          <w:highlight w:val="none"/>
        </w:rPr>
        <w:t>%；项目支出</w:t>
      </w:r>
      <w:r>
        <w:rPr>
          <w:rFonts w:ascii="仿宋_GB2312" w:eastAsia="仿宋_GB2312"/>
          <w:sz w:val="28"/>
          <w:szCs w:val="28"/>
          <w:highlight w:val="none"/>
        </w:rPr>
        <w:t>167.16</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83.35</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highlight w:val="none"/>
        </w:rPr>
        <w:t>2024年度财政拨款收</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支</w:t>
      </w:r>
      <w:r>
        <w:rPr>
          <w:rFonts w:hint="eastAsia" w:ascii="仿宋_GB2312" w:eastAsia="仿宋_GB2312"/>
          <w:sz w:val="28"/>
          <w:szCs w:val="28"/>
          <w:highlight w:val="none"/>
        </w:rPr>
        <w:t>总计</w:t>
      </w:r>
      <w:r>
        <w:rPr>
          <w:rFonts w:hint="eastAsia" w:ascii="仿宋_GB2312" w:eastAsia="仿宋_GB2312"/>
          <w:sz w:val="28"/>
          <w:szCs w:val="28"/>
          <w:highlight w:val="none"/>
          <w:lang w:val="en-US" w:eastAsia="zh-CN"/>
        </w:rPr>
        <w:t>200.56</w:t>
      </w:r>
      <w:r>
        <w:rPr>
          <w:rFonts w:hint="eastAsia" w:ascii="仿宋_GB2312" w:eastAsia="仿宋_GB2312"/>
          <w:sz w:val="28"/>
          <w:szCs w:val="28"/>
          <w:highlight w:val="none"/>
        </w:rPr>
        <w:t>万元，比上年</w:t>
      </w:r>
      <w:r>
        <w:rPr>
          <w:rFonts w:ascii="仿宋_GB2312" w:eastAsia="仿宋_GB2312"/>
          <w:sz w:val="28"/>
          <w:szCs w:val="28"/>
          <w:highlight w:val="none"/>
        </w:rPr>
        <w:t>增加</w:t>
      </w:r>
      <w:r>
        <w:rPr>
          <w:rFonts w:hint="eastAsia" w:ascii="仿宋_GB2312" w:eastAsia="仿宋_GB2312"/>
          <w:sz w:val="28"/>
          <w:szCs w:val="28"/>
          <w:highlight w:val="none"/>
          <w:lang w:val="en-US" w:eastAsia="zh-CN"/>
        </w:rPr>
        <w:t>200.56</w:t>
      </w:r>
      <w:r>
        <w:rPr>
          <w:rFonts w:hint="eastAsia" w:ascii="仿宋_GB2312" w:eastAsia="仿宋_GB2312"/>
          <w:sz w:val="28"/>
          <w:szCs w:val="28"/>
          <w:highlight w:val="none"/>
        </w:rPr>
        <w:t>万元，增长</w:t>
      </w:r>
      <w:r>
        <w:rPr>
          <w:rFonts w:hint="eastAsia" w:ascii="仿宋_GB2312" w:eastAsia="仿宋_GB2312"/>
          <w:sz w:val="28"/>
          <w:szCs w:val="28"/>
          <w:highlight w:val="none"/>
          <w:lang w:val="en-US" w:eastAsia="zh-CN"/>
        </w:rPr>
        <w:t>100</w:t>
      </w:r>
      <w:r>
        <w:rPr>
          <w:rFonts w:hint="eastAsia" w:ascii="仿宋_GB2312" w:eastAsia="仿宋_GB2312"/>
          <w:sz w:val="28"/>
          <w:szCs w:val="28"/>
          <w:highlight w:val="none"/>
        </w:rPr>
        <w:t>%。主要原因</w:t>
      </w:r>
      <w:r>
        <w:rPr>
          <w:rFonts w:hint="eastAsia" w:ascii="仿宋_GB2312" w:eastAsia="仿宋_GB2312"/>
          <w:sz w:val="28"/>
          <w:szCs w:val="28"/>
        </w:rPr>
        <w:t>：</w:t>
      </w:r>
      <w:r>
        <w:rPr>
          <w:rFonts w:hint="eastAsia" w:ascii="仿宋_GB2312" w:eastAsia="仿宋_GB2312"/>
          <w:sz w:val="28"/>
          <w:szCs w:val="28"/>
          <w:lang w:val="en-US" w:eastAsia="zh-CN"/>
        </w:rPr>
        <w:t>瀛海六幼为2024年9月新建园，无同期数据</w:t>
      </w:r>
      <w:r>
        <w:rPr>
          <w:rFonts w:hint="eastAsia" w:ascii="仿宋_GB2312" w:eastAsia="仿宋_GB2312"/>
          <w:sz w:val="28"/>
          <w:szCs w:val="28"/>
        </w:rPr>
        <w:t>。</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200.56</w:t>
      </w:r>
      <w:r>
        <w:rPr>
          <w:rFonts w:hint="eastAsia" w:ascii="仿宋_GB2312" w:eastAsia="仿宋_GB2312"/>
          <w:sz w:val="28"/>
          <w:szCs w:val="28"/>
        </w:rPr>
        <w:t>万元，主要用于以下方面（按大类）：</w:t>
      </w:r>
      <w:r>
        <w:rPr>
          <w:rFonts w:hint="eastAsia" w:ascii="仿宋_GB2312" w:eastAsia="仿宋_GB2312"/>
          <w:sz w:val="28"/>
          <w:szCs w:val="28"/>
          <w:lang w:val="en-US" w:eastAsia="zh-CN"/>
        </w:rPr>
        <w:t>教育支出194.43</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96.94</w:t>
      </w:r>
      <w:r>
        <w:rPr>
          <w:rFonts w:hint="eastAsia" w:ascii="仿宋_GB2312" w:eastAsia="仿宋_GB2312"/>
          <w:sz w:val="28"/>
          <w:szCs w:val="28"/>
        </w:rPr>
        <w:t>%；</w:t>
      </w:r>
      <w:r>
        <w:rPr>
          <w:rFonts w:hint="eastAsia" w:ascii="仿宋_GB2312" w:eastAsia="仿宋_GB2312"/>
          <w:sz w:val="28"/>
          <w:szCs w:val="28"/>
          <w:lang w:val="en-US" w:eastAsia="zh-CN"/>
        </w:rPr>
        <w:t>社会保障和就业支出3.57万元，占本年财政拨款支出1.78%；卫生健康支出2.56万元，占本年财政拨款支出1.285%。</w:t>
      </w:r>
    </w:p>
    <w:p>
      <w:p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（二）一般公共预算财政拨款支出决算具体情况</w:t>
      </w:r>
    </w:p>
    <w:p>
      <w:pPr>
        <w:spacing w:line="580" w:lineRule="exact"/>
        <w:ind w:firstLine="560" w:firstLineChars="200"/>
        <w:rPr>
          <w:rFonts w:hint="eastAsia" w:ascii="仿宋_GB2312" w:eastAsia="仿宋_GB2312"/>
          <w:sz w:val="28"/>
          <w:szCs w:val="28"/>
          <w:highlight w:val="none"/>
          <w:lang w:eastAsia="zh-CN"/>
        </w:rPr>
      </w:pPr>
      <w:r>
        <w:rPr>
          <w:rFonts w:hint="eastAsia" w:ascii="仿宋_GB2312" w:eastAsia="仿宋_GB2312"/>
          <w:sz w:val="28"/>
          <w:szCs w:val="28"/>
          <w:highlight w:val="none"/>
        </w:rPr>
        <w:t>1.</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205教育支出”（类）2024年度年初预算0万元，</w:t>
      </w:r>
      <w:r>
        <w:rPr>
          <w:rFonts w:hint="eastAsia" w:ascii="仿宋_GB2312" w:eastAsia="仿宋_GB2312"/>
          <w:sz w:val="28"/>
          <w:szCs w:val="28"/>
          <w:highlight w:val="none"/>
        </w:rPr>
        <w:t>2024年度决算</w:t>
      </w:r>
      <w:r>
        <w:rPr>
          <w:rFonts w:hint="eastAsia" w:ascii="仿宋_GB2312" w:eastAsia="仿宋_GB2312"/>
          <w:sz w:val="28"/>
          <w:szCs w:val="28"/>
          <w:highlight w:val="none"/>
          <w:lang w:val="en-US" w:eastAsia="zh-CN"/>
        </w:rPr>
        <w:t>194.43</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w:t>
      </w:r>
    </w:p>
    <w:p>
      <w:pPr>
        <w:spacing w:line="580" w:lineRule="exact"/>
        <w:ind w:firstLine="560" w:firstLineChars="200"/>
        <w:rPr>
          <w:rFonts w:hint="default" w:ascii="仿宋_GB2312" w:eastAsia="仿宋_GB2312"/>
          <w:sz w:val="28"/>
          <w:szCs w:val="28"/>
          <w:highlight w:val="none"/>
          <w:lang w:val="en-US" w:eastAsia="zh-CN"/>
        </w:rPr>
      </w:pPr>
      <w:r>
        <w:rPr>
          <w:rFonts w:hint="eastAsia" w:ascii="仿宋_GB2312" w:eastAsia="仿宋_GB2312"/>
          <w:sz w:val="28"/>
          <w:szCs w:val="28"/>
          <w:highlight w:val="none"/>
          <w:lang w:eastAsia="zh-CN"/>
        </w:rPr>
        <w:t>其中：</w:t>
      </w:r>
      <w:r>
        <w:rPr>
          <w:rFonts w:hint="eastAsia" w:ascii="仿宋_GB2312" w:eastAsia="仿宋_GB2312"/>
          <w:sz w:val="28"/>
          <w:szCs w:val="28"/>
        </w:rPr>
        <w:t>“</w:t>
      </w:r>
      <w:r>
        <w:rPr>
          <w:rFonts w:hint="eastAsia" w:ascii="仿宋_GB2312" w:eastAsia="仿宋_GB2312"/>
          <w:sz w:val="28"/>
          <w:szCs w:val="28"/>
          <w:highlight w:val="none"/>
          <w:lang w:val="en-US" w:eastAsia="zh-CN"/>
        </w:rPr>
        <w:t>20502普通</w:t>
      </w:r>
      <w:r>
        <w:rPr>
          <w:rFonts w:hint="eastAsia" w:ascii="仿宋_GB2312" w:eastAsia="仿宋_GB2312"/>
          <w:sz w:val="28"/>
          <w:szCs w:val="28"/>
          <w:highlight w:val="none"/>
          <w:lang w:eastAsia="zh-CN"/>
        </w:rPr>
        <w:t>教育</w:t>
      </w:r>
      <w:r>
        <w:rPr>
          <w:rFonts w:hint="eastAsia" w:ascii="仿宋_GB2312" w:eastAsia="仿宋_GB2312"/>
          <w:sz w:val="28"/>
          <w:szCs w:val="28"/>
        </w:rPr>
        <w:t>”（款，下同）</w:t>
      </w:r>
      <w:r>
        <w:rPr>
          <w:rFonts w:hint="eastAsia" w:ascii="仿宋_GB2312" w:eastAsia="仿宋_GB2312"/>
          <w:sz w:val="28"/>
          <w:szCs w:val="28"/>
          <w:highlight w:val="none"/>
          <w:lang w:val="en-US" w:eastAsia="zh-CN"/>
        </w:rPr>
        <w:t>2024年度年初预算0万元，</w:t>
      </w:r>
      <w:r>
        <w:rPr>
          <w:rFonts w:hint="eastAsia" w:ascii="仿宋_GB2312" w:eastAsia="仿宋_GB2312"/>
          <w:sz w:val="28"/>
          <w:szCs w:val="28"/>
        </w:rPr>
        <w:t>2024年度决算</w:t>
      </w:r>
      <w:r>
        <w:rPr>
          <w:rFonts w:hint="eastAsia" w:ascii="仿宋_GB2312" w:eastAsia="仿宋_GB2312"/>
          <w:sz w:val="28"/>
          <w:szCs w:val="28"/>
          <w:lang w:val="en-US" w:eastAsia="zh-CN"/>
        </w:rPr>
        <w:t>194.43</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主要原因：</w:t>
      </w:r>
      <w:r>
        <w:rPr>
          <w:rFonts w:hint="eastAsia" w:ascii="仿宋_GB2312" w:eastAsia="仿宋_GB2312"/>
          <w:sz w:val="28"/>
          <w:szCs w:val="28"/>
          <w:lang w:eastAsia="zh-CN"/>
        </w:rPr>
        <w:t>瀛海六幼为</w:t>
      </w:r>
      <w:r>
        <w:rPr>
          <w:rFonts w:hint="eastAsia" w:ascii="仿宋_GB2312" w:eastAsia="仿宋_GB2312"/>
          <w:sz w:val="28"/>
          <w:szCs w:val="28"/>
          <w:lang w:val="en-US" w:eastAsia="zh-CN"/>
        </w:rPr>
        <w:t>2024.9月新建园，年初无预算。</w:t>
      </w:r>
    </w:p>
    <w:p>
      <w:pPr>
        <w:numPr>
          <w:ilvl w:val="0"/>
          <w:numId w:val="1"/>
        </w:num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208</w:t>
      </w:r>
      <w:r>
        <w:rPr>
          <w:rFonts w:hint="eastAsia" w:ascii="仿宋_GB2312" w:eastAsia="仿宋_GB2312"/>
          <w:sz w:val="28"/>
          <w:szCs w:val="28"/>
          <w:lang w:val="en-US" w:eastAsia="zh-CN"/>
        </w:rPr>
        <w:t>社会保障和就业支出”（类）</w:t>
      </w:r>
      <w:r>
        <w:rPr>
          <w:rFonts w:hint="eastAsia" w:ascii="仿宋_GB2312" w:eastAsia="仿宋_GB2312"/>
          <w:sz w:val="28"/>
          <w:szCs w:val="28"/>
          <w:highlight w:val="none"/>
          <w:lang w:val="en-US" w:eastAsia="zh-CN"/>
        </w:rPr>
        <w:t>2024年度年初预算0万元，</w:t>
      </w:r>
      <w:r>
        <w:rPr>
          <w:rFonts w:hint="eastAsia" w:ascii="仿宋_GB2312" w:eastAsia="仿宋_GB2312"/>
          <w:sz w:val="28"/>
          <w:szCs w:val="28"/>
          <w:highlight w:val="none"/>
        </w:rPr>
        <w:t>2024年度决算</w:t>
      </w:r>
      <w:r>
        <w:rPr>
          <w:rFonts w:hint="eastAsia" w:ascii="仿宋_GB2312" w:eastAsia="仿宋_GB2312"/>
          <w:sz w:val="28"/>
          <w:szCs w:val="28"/>
          <w:highlight w:val="none"/>
          <w:lang w:val="en-US" w:eastAsia="zh-CN"/>
        </w:rPr>
        <w:t>3.57</w:t>
      </w:r>
      <w:r>
        <w:rPr>
          <w:rFonts w:hint="eastAsia" w:ascii="仿宋_GB2312" w:eastAsia="仿宋_GB2312"/>
          <w:sz w:val="28"/>
          <w:szCs w:val="28"/>
          <w:highlight w:val="none"/>
        </w:rPr>
        <w:t>万元。</w:t>
      </w:r>
    </w:p>
    <w:p>
      <w:pPr>
        <w:spacing w:line="580" w:lineRule="exact"/>
        <w:ind w:firstLine="560" w:firstLineChars="200"/>
        <w:rPr>
          <w:rFonts w:hint="default" w:ascii="仿宋_GB2312" w:eastAsia="仿宋_GB2312"/>
          <w:sz w:val="28"/>
          <w:szCs w:val="28"/>
          <w:highlight w:val="none"/>
          <w:lang w:val="en-US" w:eastAsia="zh-CN"/>
        </w:rPr>
      </w:pPr>
      <w:r>
        <w:rPr>
          <w:rFonts w:hint="eastAsia" w:ascii="仿宋_GB2312" w:eastAsia="仿宋_GB2312"/>
          <w:sz w:val="28"/>
          <w:szCs w:val="28"/>
          <w:highlight w:val="none"/>
          <w:lang w:eastAsia="zh-CN"/>
        </w:rPr>
        <w:t>其中：“</w:t>
      </w:r>
      <w:r>
        <w:rPr>
          <w:rFonts w:hint="eastAsia" w:ascii="仿宋_GB2312" w:eastAsia="仿宋_GB2312"/>
          <w:sz w:val="28"/>
          <w:szCs w:val="28"/>
          <w:highlight w:val="none"/>
          <w:lang w:val="en-US" w:eastAsia="zh-CN"/>
        </w:rPr>
        <w:t>20805行政事业单位养老支出</w:t>
      </w:r>
      <w:r>
        <w:rPr>
          <w:rFonts w:hint="eastAsia" w:ascii="仿宋_GB2312" w:eastAsia="仿宋_GB2312"/>
          <w:sz w:val="28"/>
          <w:szCs w:val="28"/>
          <w:highlight w:val="none"/>
          <w:lang w:eastAsia="zh-CN"/>
        </w:rPr>
        <w:t>”（款）</w:t>
      </w:r>
      <w:r>
        <w:rPr>
          <w:rFonts w:hint="eastAsia" w:ascii="仿宋_GB2312" w:eastAsia="仿宋_GB2312"/>
          <w:sz w:val="28"/>
          <w:szCs w:val="28"/>
          <w:highlight w:val="none"/>
          <w:lang w:val="en-US" w:eastAsia="zh-CN"/>
        </w:rPr>
        <w:t>2024年度年初预算0万元，2024年度决算3.57万元</w:t>
      </w:r>
      <w:r>
        <w:rPr>
          <w:rFonts w:hint="eastAsia" w:ascii="仿宋_GB2312" w:eastAsia="仿宋_GB2312"/>
          <w:sz w:val="28"/>
          <w:szCs w:val="28"/>
          <w:highlight w:val="none"/>
        </w:rPr>
        <w:t>。</w:t>
      </w:r>
      <w:r>
        <w:rPr>
          <w:rFonts w:hint="eastAsia" w:ascii="仿宋_GB2312" w:eastAsia="仿宋_GB2312"/>
          <w:sz w:val="28"/>
          <w:szCs w:val="28"/>
        </w:rPr>
        <w:t>主要原因：</w:t>
      </w:r>
      <w:r>
        <w:rPr>
          <w:rFonts w:hint="eastAsia" w:ascii="仿宋_GB2312" w:eastAsia="仿宋_GB2312"/>
          <w:sz w:val="28"/>
          <w:szCs w:val="28"/>
          <w:lang w:eastAsia="zh-CN"/>
        </w:rPr>
        <w:t>瀛海六幼为</w:t>
      </w:r>
      <w:r>
        <w:rPr>
          <w:rFonts w:hint="eastAsia" w:ascii="仿宋_GB2312" w:eastAsia="仿宋_GB2312"/>
          <w:sz w:val="28"/>
          <w:szCs w:val="28"/>
          <w:lang w:val="en-US" w:eastAsia="zh-CN"/>
        </w:rPr>
        <w:t>2024.9月新建园，年初无预算。</w:t>
      </w:r>
    </w:p>
    <w:p>
      <w:pPr>
        <w:numPr>
          <w:ilvl w:val="0"/>
          <w:numId w:val="1"/>
        </w:numPr>
        <w:spacing w:line="580" w:lineRule="exact"/>
        <w:ind w:left="0" w:leftChars="0"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210</w:t>
      </w:r>
      <w:r>
        <w:rPr>
          <w:rFonts w:hint="eastAsia" w:ascii="仿宋_GB2312" w:eastAsia="仿宋_GB2312"/>
          <w:sz w:val="28"/>
          <w:szCs w:val="28"/>
          <w:lang w:val="en-US" w:eastAsia="zh-CN"/>
        </w:rPr>
        <w:t>卫生健康支出”（类）</w:t>
      </w:r>
      <w:r>
        <w:rPr>
          <w:rFonts w:hint="eastAsia" w:ascii="仿宋_GB2312" w:eastAsia="仿宋_GB2312"/>
          <w:sz w:val="28"/>
          <w:szCs w:val="28"/>
          <w:highlight w:val="none"/>
          <w:lang w:val="en-US" w:eastAsia="zh-CN"/>
        </w:rPr>
        <w:t>2024年度年初预算0万元，</w:t>
      </w:r>
      <w:r>
        <w:rPr>
          <w:rFonts w:hint="eastAsia" w:ascii="仿宋_GB2312" w:eastAsia="仿宋_GB2312"/>
          <w:sz w:val="28"/>
          <w:szCs w:val="28"/>
          <w:highlight w:val="none"/>
        </w:rPr>
        <w:t xml:space="preserve"> 2024年度决算</w:t>
      </w:r>
      <w:r>
        <w:rPr>
          <w:rFonts w:hint="eastAsia" w:ascii="仿宋_GB2312" w:eastAsia="仿宋_GB2312"/>
          <w:sz w:val="28"/>
          <w:szCs w:val="28"/>
          <w:highlight w:val="none"/>
          <w:lang w:val="en-US" w:eastAsia="zh-CN"/>
        </w:rPr>
        <w:t>2.56</w:t>
      </w:r>
      <w:r>
        <w:rPr>
          <w:rFonts w:hint="eastAsia" w:ascii="仿宋_GB2312" w:eastAsia="仿宋_GB2312"/>
          <w:sz w:val="28"/>
          <w:szCs w:val="28"/>
          <w:highlight w:val="none"/>
        </w:rPr>
        <w:t>万元。</w:t>
      </w:r>
    </w:p>
    <w:p>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eastAsia="zh-CN"/>
        </w:rPr>
        <w:t>其中：“</w:t>
      </w:r>
      <w:r>
        <w:rPr>
          <w:rFonts w:hint="eastAsia" w:ascii="仿宋_GB2312" w:eastAsia="仿宋_GB2312"/>
          <w:sz w:val="28"/>
          <w:szCs w:val="28"/>
          <w:highlight w:val="none"/>
          <w:lang w:val="en-US" w:eastAsia="zh-CN"/>
        </w:rPr>
        <w:t>21011行政事宜单位医疗”（款）2024年度年初预算0万元，2024年度决算2.56万元</w:t>
      </w:r>
      <w:r>
        <w:rPr>
          <w:rFonts w:hint="eastAsia" w:ascii="仿宋_GB2312" w:eastAsia="仿宋_GB2312"/>
          <w:sz w:val="28"/>
          <w:szCs w:val="28"/>
          <w:highlight w:val="none"/>
        </w:rPr>
        <w:t>。</w:t>
      </w:r>
      <w:r>
        <w:rPr>
          <w:rFonts w:hint="eastAsia" w:ascii="仿宋_GB2312" w:eastAsia="仿宋_GB2312"/>
          <w:sz w:val="28"/>
          <w:szCs w:val="28"/>
        </w:rPr>
        <w:t>主要原因：</w:t>
      </w:r>
      <w:r>
        <w:rPr>
          <w:rFonts w:hint="eastAsia" w:ascii="仿宋_GB2312" w:eastAsia="仿宋_GB2312"/>
          <w:sz w:val="28"/>
          <w:szCs w:val="28"/>
          <w:lang w:eastAsia="zh-CN"/>
        </w:rPr>
        <w:t>瀛海六幼为</w:t>
      </w:r>
      <w:r>
        <w:rPr>
          <w:rFonts w:hint="eastAsia" w:ascii="仿宋_GB2312" w:eastAsia="仿宋_GB2312"/>
          <w:sz w:val="28"/>
          <w:szCs w:val="28"/>
          <w:lang w:val="en-US" w:eastAsia="zh-CN"/>
        </w:rPr>
        <w:t>2024.9月新建园，年初无预算。</w:t>
      </w: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spacing w:line="560" w:lineRule="exact"/>
        <w:ind w:firstLine="560" w:firstLineChars="200"/>
        <w:rPr>
          <w:rFonts w:hint="eastAsia" w:ascii="仿宋_GB2312" w:eastAsia="仿宋_GB2312"/>
          <w:sz w:val="28"/>
          <w:szCs w:val="28"/>
          <w:lang w:eastAsia="zh-CN"/>
        </w:rPr>
      </w:pPr>
      <w:r>
        <w:rPr>
          <w:rFonts w:hint="eastAsia" w:ascii="仿宋_GB2312" w:eastAsia="仿宋_GB2312"/>
          <w:sz w:val="28"/>
          <w:szCs w:val="28"/>
        </w:rPr>
        <w:t>本单位2024年度无政府性基金预算财政拨款安排的支出</w:t>
      </w:r>
      <w:r>
        <w:rPr>
          <w:rFonts w:hint="eastAsia" w:ascii="仿宋_GB2312" w:eastAsia="仿宋_GB2312"/>
          <w:sz w:val="28"/>
          <w:szCs w:val="28"/>
          <w:lang w:eastAsia="zh-CN"/>
        </w:rPr>
        <w:t>。</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numPr>
          <w:ilvl w:val="0"/>
          <w:numId w:val="0"/>
        </w:numPr>
        <w:tabs>
          <w:tab w:val="center" w:pos="6979"/>
        </w:tabs>
        <w:spacing w:line="580" w:lineRule="exact"/>
        <w:ind w:firstLine="560" w:firstLineChars="200"/>
        <w:rPr>
          <w:rFonts w:hint="eastAsia" w:ascii="黑体" w:eastAsia="仿宋_GB2312"/>
          <w:sz w:val="28"/>
          <w:szCs w:val="28"/>
          <w:lang w:eastAsia="zh-CN"/>
        </w:rPr>
      </w:pPr>
      <w:r>
        <w:rPr>
          <w:rFonts w:hint="eastAsia" w:ascii="仿宋_GB2312" w:eastAsia="仿宋_GB2312"/>
          <w:sz w:val="28"/>
          <w:szCs w:val="28"/>
        </w:rPr>
        <w:t>本单位202</w:t>
      </w:r>
      <w:r>
        <w:rPr>
          <w:rFonts w:hint="eastAsia" w:ascii="仿宋_GB2312" w:eastAsia="仿宋_GB2312"/>
          <w:sz w:val="28"/>
          <w:szCs w:val="28"/>
          <w:lang w:val="en-US" w:eastAsia="zh-CN"/>
        </w:rPr>
        <w:t>4</w:t>
      </w:r>
      <w:r>
        <w:rPr>
          <w:rFonts w:hint="eastAsia" w:ascii="仿宋_GB2312" w:eastAsia="仿宋_GB2312"/>
          <w:sz w:val="28"/>
          <w:szCs w:val="28"/>
        </w:rPr>
        <w:t>年度无国有资本经营预算财</w:t>
      </w:r>
      <w:r>
        <w:rPr>
          <w:rFonts w:ascii="仿宋_GB2312" w:eastAsia="仿宋_GB2312"/>
          <w:sz w:val="28"/>
          <w:szCs w:val="28"/>
        </w:rPr>
        <w:t>政拨款</w:t>
      </w:r>
      <w:r>
        <w:rPr>
          <w:rFonts w:hint="eastAsia" w:ascii="仿宋_GB2312" w:eastAsia="仿宋_GB2312"/>
          <w:sz w:val="28"/>
          <w:szCs w:val="28"/>
        </w:rPr>
        <w:t>安排的支出</w:t>
      </w:r>
      <w:r>
        <w:rPr>
          <w:rFonts w:hint="eastAsia" w:ascii="仿宋_GB2312" w:eastAsia="仿宋_GB2312"/>
          <w:sz w:val="28"/>
          <w:szCs w:val="28"/>
          <w:lang w:eastAsia="zh-CN"/>
        </w:rPr>
        <w:t>。</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33.39</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jc w:val="both"/>
        <w:rPr>
          <w:rFonts w:ascii="仿宋_GB2312" w:eastAsia="仿宋_GB2312"/>
          <w:b/>
          <w:sz w:val="32"/>
          <w:szCs w:val="32"/>
        </w:rPr>
      </w:pPr>
      <w:r>
        <w:rPr>
          <w:rFonts w:ascii="仿宋_GB2312" w:eastAsia="仿宋_GB2312"/>
          <w:b/>
          <w:sz w:val="32"/>
          <w:szCs w:val="32"/>
        </w:rPr>
        <w:tab/>
      </w:r>
    </w:p>
    <w:p>
      <w:pPr>
        <w:pStyle w:val="2"/>
        <w:rPr>
          <w:rFonts w:ascii="仿宋_GB2312" w:eastAsia="仿宋_GB2312"/>
          <w:b/>
          <w:sz w:val="32"/>
          <w:szCs w:val="32"/>
        </w:rPr>
      </w:pPr>
    </w:p>
    <w:p>
      <w:pPr>
        <w:rPr>
          <w:rFonts w:ascii="仿宋_GB2312" w:eastAsia="仿宋_GB2312"/>
          <w:b/>
          <w:sz w:val="32"/>
          <w:szCs w:val="32"/>
        </w:rPr>
      </w:pPr>
    </w:p>
    <w:p>
      <w:pPr>
        <w:pStyle w:val="2"/>
        <w:rPr>
          <w:rFonts w:ascii="仿宋_GB2312" w:eastAsia="仿宋_GB2312"/>
          <w:b/>
          <w:sz w:val="32"/>
          <w:szCs w:val="32"/>
        </w:rPr>
      </w:pPr>
    </w:p>
    <w:p>
      <w:pPr>
        <w:pStyle w:val="2"/>
        <w:rPr>
          <w:rFonts w:ascii="仿宋_GB2312" w:eastAsia="仿宋_GB2312"/>
          <w:b/>
          <w:sz w:val="32"/>
          <w:szCs w:val="32"/>
        </w:rPr>
      </w:pPr>
    </w:p>
    <w:p/>
    <w:p>
      <w:pPr>
        <w:rPr>
          <w:rFonts w:hint="eastAsia"/>
        </w:rPr>
      </w:pP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numPr>
          <w:ilvl w:val="0"/>
          <w:numId w:val="2"/>
        </w:numPr>
        <w:spacing w:line="560" w:lineRule="exact"/>
        <w:ind w:firstLine="560" w:firstLineChars="200"/>
        <w:rPr>
          <w:rFonts w:hint="eastAsia" w:ascii="黑体" w:eastAsia="黑体"/>
          <w:sz w:val="28"/>
          <w:szCs w:val="28"/>
        </w:rPr>
      </w:pPr>
      <w:r>
        <w:rPr>
          <w:rFonts w:hint="eastAsia" w:ascii="黑体" w:eastAsia="黑体"/>
          <w:sz w:val="28"/>
          <w:szCs w:val="28"/>
        </w:rPr>
        <w:t>“三公”经费财政拨款决算情况</w:t>
      </w:r>
    </w:p>
    <w:p>
      <w:pPr>
        <w:pStyle w:val="2"/>
        <w:numPr>
          <w:numId w:val="0"/>
        </w:numPr>
        <w:rPr>
          <w:rFonts w:hint="default" w:ascii="仿宋_GB2312" w:hAnsi="Times New Roman" w:eastAsia="仿宋_GB2312" w:cs="Times New Roman"/>
          <w:b w:val="0"/>
          <w:bCs w:val="0"/>
          <w:kern w:val="2"/>
          <w:sz w:val="28"/>
          <w:szCs w:val="28"/>
          <w:lang w:val="en-US" w:eastAsia="zh-CN" w:bidi="ar-SA"/>
        </w:rPr>
      </w:pPr>
      <w:r>
        <w:rPr>
          <w:rFonts w:hint="eastAsia" w:ascii="仿宋_GB2312" w:hAnsi="Times New Roman" w:eastAsia="仿宋_GB2312" w:cs="Times New Roman"/>
          <w:b w:val="0"/>
          <w:bCs w:val="0"/>
          <w:kern w:val="2"/>
          <w:sz w:val="28"/>
          <w:szCs w:val="28"/>
          <w:lang w:val="en-US" w:eastAsia="zh-CN" w:bidi="ar-SA"/>
        </w:rPr>
        <w:t xml:space="preserve">    2024年度“三公”经费财政拨款决算数0万元，比2024年度“三公”经费财政拨款年初预算0万元，增减无变化</w:t>
      </w:r>
      <w:bookmarkStart w:id="0" w:name="_GoBack"/>
      <w:bookmarkEnd w:id="0"/>
      <w:r>
        <w:rPr>
          <w:rFonts w:hint="eastAsia" w:ascii="仿宋_GB2312" w:hAnsi="Times New Roman" w:eastAsia="仿宋_GB2312" w:cs="Times New Roman"/>
          <w:b w:val="0"/>
          <w:bCs w:val="0"/>
          <w:kern w:val="2"/>
          <w:sz w:val="28"/>
          <w:szCs w:val="28"/>
          <w:lang w:val="en-US" w:eastAsia="zh-CN" w:bidi="ar-SA"/>
        </w:rPr>
        <w:t>。其中：</w:t>
      </w:r>
    </w:p>
    <w:p>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增减无变化，保持一致</w:t>
      </w:r>
      <w:r>
        <w:rPr>
          <w:rFonts w:hint="eastAsia" w:ascii="仿宋_GB2312" w:eastAsia="仿宋_GB2312"/>
          <w:sz w:val="28"/>
          <w:szCs w:val="28"/>
        </w:rPr>
        <w:t>。主要原因：</w:t>
      </w:r>
      <w:r>
        <w:rPr>
          <w:rFonts w:hint="eastAsia" w:ascii="仿宋_GB2312" w:hAnsi="Times New Roman" w:eastAsia="仿宋_GB2312" w:cs="Times New Roman"/>
          <w:color w:val="000000"/>
          <w:kern w:val="2"/>
          <w:sz w:val="28"/>
          <w:szCs w:val="28"/>
          <w:lang w:val="en-US" w:eastAsia="zh-CN" w:bidi="ar"/>
        </w:rPr>
        <w:t>是因公出国（境）费用根据年度出国审批情况作为追加项目管理，单位不做年初预算，本年也没有出国审批项目发生</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年度因公出国（境）费用主要用于</w:t>
      </w:r>
      <w:r>
        <w:rPr>
          <w:rFonts w:hint="eastAsia" w:ascii="仿宋_GB2312" w:hAnsi="Times New Roman" w:eastAsia="仿宋_GB2312" w:cs="Times New Roman"/>
          <w:color w:val="000000"/>
          <w:kern w:val="2"/>
          <w:sz w:val="28"/>
          <w:szCs w:val="28"/>
          <w:lang w:val="en-US" w:eastAsia="zh-CN" w:bidi="ar"/>
        </w:rPr>
        <w:t>出国（境）的会议、培训交流等事项</w:t>
      </w:r>
      <w:r>
        <w:rPr>
          <w:rFonts w:hint="eastAsia" w:ascii="仿宋_GB2312" w:eastAsia="仿宋_GB2312"/>
          <w:sz w:val="28"/>
          <w:szCs w:val="28"/>
        </w:rPr>
        <w:t>等，202</w:t>
      </w:r>
      <w:r>
        <w:rPr>
          <w:rFonts w:hint="eastAsia" w:ascii="仿宋_GB2312" w:eastAsia="仿宋_GB2312"/>
          <w:sz w:val="28"/>
          <w:szCs w:val="28"/>
          <w:lang w:val="en-US" w:eastAsia="zh-CN"/>
        </w:rPr>
        <w:t>4</w:t>
      </w:r>
      <w:r>
        <w:rPr>
          <w:rFonts w:hint="eastAsia" w:ascii="仿宋_GB2312" w:eastAsia="仿宋_GB2312"/>
          <w:sz w:val="28"/>
          <w:szCs w:val="28"/>
        </w:rPr>
        <w:t>年度组织因公出国（境）团组</w:t>
      </w:r>
      <w:r>
        <w:rPr>
          <w:rFonts w:hint="eastAsia" w:ascii="仿宋_GB2312" w:eastAsia="仿宋_GB2312"/>
          <w:sz w:val="28"/>
          <w:szCs w:val="28"/>
          <w:lang w:eastAsia="zh-CN"/>
        </w:rPr>
        <w:t>0</w:t>
      </w:r>
      <w:r>
        <w:rPr>
          <w:rFonts w:hint="eastAsia" w:ascii="仿宋_GB2312" w:eastAsia="仿宋_GB2312"/>
          <w:sz w:val="28"/>
          <w:szCs w:val="28"/>
        </w:rPr>
        <w:t>个、</w:t>
      </w:r>
      <w:r>
        <w:rPr>
          <w:rFonts w:hint="eastAsia" w:ascii="仿宋_GB2312" w:eastAsia="仿宋_GB2312"/>
          <w:sz w:val="28"/>
          <w:szCs w:val="28"/>
          <w:lang w:eastAsia="zh-CN"/>
        </w:rPr>
        <w:t>0</w:t>
      </w:r>
      <w:r>
        <w:rPr>
          <w:rFonts w:hint="eastAsia" w:ascii="仿宋_GB2312" w:eastAsia="仿宋_GB2312"/>
          <w:sz w:val="28"/>
          <w:szCs w:val="28"/>
        </w:rPr>
        <w:t>人次。</w:t>
      </w:r>
    </w:p>
    <w:p>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0万</w:t>
      </w:r>
      <w:r>
        <w:rPr>
          <w:rFonts w:hint="eastAsia" w:ascii="仿宋_GB2312" w:eastAsia="仿宋_GB2312"/>
          <w:sz w:val="28"/>
          <w:szCs w:val="28"/>
        </w:rPr>
        <w:t>元减少</w:t>
      </w:r>
      <w:r>
        <w:rPr>
          <w:rFonts w:hint="eastAsia" w:ascii="仿宋_GB2312" w:eastAsia="仿宋_GB2312"/>
          <w:sz w:val="28"/>
          <w:szCs w:val="28"/>
          <w:lang w:val="en-US" w:eastAsia="zh-CN"/>
        </w:rPr>
        <w:t>0</w:t>
      </w:r>
      <w:r>
        <w:rPr>
          <w:rFonts w:hint="eastAsia" w:ascii="仿宋_GB2312" w:eastAsia="仿宋_GB2312"/>
          <w:sz w:val="28"/>
          <w:szCs w:val="28"/>
        </w:rPr>
        <w:t>万元。主要原因：</w:t>
      </w:r>
      <w:r>
        <w:rPr>
          <w:rFonts w:hint="eastAsia" w:ascii="仿宋_GB2312" w:hAnsi="Times New Roman" w:eastAsia="仿宋_GB2312" w:cs="Times New Roman"/>
          <w:color w:val="000000"/>
          <w:kern w:val="2"/>
          <w:sz w:val="28"/>
          <w:szCs w:val="28"/>
          <w:lang w:val="en-US" w:eastAsia="zh-CN" w:bidi="ar"/>
        </w:rPr>
        <w:t>本年度无公务接待支出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年度公务接待费主要用于</w:t>
      </w:r>
      <w:r>
        <w:rPr>
          <w:rFonts w:hint="eastAsia" w:ascii="仿宋_GB2312" w:hAnsi="Times New Roman" w:eastAsia="仿宋_GB2312" w:cs="Times New Roman"/>
          <w:kern w:val="2"/>
          <w:sz w:val="28"/>
          <w:szCs w:val="28"/>
          <w:lang w:val="en-US" w:eastAsia="zh-CN" w:bidi="ar"/>
        </w:rPr>
        <w:t>公务接待事项</w:t>
      </w:r>
      <w:r>
        <w:rPr>
          <w:rFonts w:hint="eastAsia" w:ascii="仿宋_GB2312" w:eastAsia="仿宋_GB2312"/>
          <w:sz w:val="28"/>
          <w:szCs w:val="28"/>
        </w:rPr>
        <w:t>。公务接待</w:t>
      </w:r>
      <w:r>
        <w:rPr>
          <w:rFonts w:hint="eastAsia" w:ascii="仿宋_GB2312" w:eastAsia="仿宋_GB2312"/>
          <w:sz w:val="28"/>
          <w:szCs w:val="28"/>
          <w:lang w:eastAsia="zh-CN"/>
        </w:rPr>
        <w:t>0</w:t>
      </w:r>
      <w:r>
        <w:rPr>
          <w:rFonts w:hint="eastAsia" w:ascii="仿宋_GB2312" w:eastAsia="仿宋_GB2312"/>
          <w:sz w:val="28"/>
          <w:szCs w:val="28"/>
        </w:rPr>
        <w:t>批次，公务接待</w:t>
      </w:r>
      <w:r>
        <w:rPr>
          <w:rFonts w:hint="eastAsia" w:ascii="仿宋_GB2312" w:eastAsia="仿宋_GB2312"/>
          <w:sz w:val="28"/>
          <w:szCs w:val="28"/>
          <w:lang w:eastAsia="zh-CN"/>
        </w:rPr>
        <w:t>0</w:t>
      </w:r>
      <w:r>
        <w:rPr>
          <w:rFonts w:hint="eastAsia" w:ascii="仿宋_GB2312" w:eastAsia="仿宋_GB2312"/>
          <w:sz w:val="28"/>
          <w:szCs w:val="28"/>
        </w:rPr>
        <w:t>人次。</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cs="Times New Roman"/>
          <w:kern w:val="2"/>
          <w:sz w:val="28"/>
          <w:szCs w:val="28"/>
          <w:lang w:val="en-US" w:eastAsia="zh-CN" w:bidi="ar"/>
        </w:rPr>
        <w:t>0</w:t>
      </w:r>
      <w:r>
        <w:rPr>
          <w:rFonts w:hint="eastAsia" w:ascii="仿宋_GB2312" w:eastAsia="仿宋_GB2312"/>
          <w:sz w:val="28"/>
          <w:szCs w:val="28"/>
        </w:rPr>
        <w:t>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w:t>
      </w:r>
      <w:r>
        <w:rPr>
          <w:rFonts w:hint="eastAsia" w:ascii="仿宋_GB2312" w:eastAsia="仿宋_GB2312"/>
          <w:sz w:val="28"/>
          <w:szCs w:val="28"/>
          <w:highlight w:val="none"/>
        </w:rPr>
        <w:t>元增加</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w:t>
      </w:r>
      <w:r>
        <w:rPr>
          <w:rFonts w:hint="eastAsia" w:ascii="仿宋_GB2312" w:eastAsia="仿宋_GB2312"/>
          <w:sz w:val="28"/>
          <w:szCs w:val="28"/>
        </w:rPr>
        <w:t>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cs="Times New Roman"/>
          <w:kern w:val="2"/>
          <w:sz w:val="28"/>
          <w:szCs w:val="28"/>
          <w:lang w:val="en-US" w:eastAsia="zh-CN" w:bidi="ar"/>
        </w:rPr>
        <w:t>0</w:t>
      </w:r>
      <w:r>
        <w:rPr>
          <w:rFonts w:hint="eastAsia" w:ascii="仿宋_GB2312" w:eastAsia="仿宋_GB2312"/>
          <w:sz w:val="28"/>
          <w:szCs w:val="28"/>
        </w:rPr>
        <w:t>万元，主要原因：</w:t>
      </w:r>
      <w:r>
        <w:rPr>
          <w:rFonts w:hint="eastAsia" w:ascii="仿宋_GB2312" w:hAnsi="Times New Roman" w:eastAsia="仿宋_GB2312" w:cs="Times New Roman"/>
          <w:kern w:val="2"/>
          <w:sz w:val="28"/>
          <w:szCs w:val="28"/>
          <w:lang w:val="en-US" w:eastAsia="zh-CN" w:bidi="ar"/>
        </w:rPr>
        <w:t>本年度新购车辆</w:t>
      </w:r>
      <w:r>
        <w:rPr>
          <w:rFonts w:hint="eastAsia" w:ascii="仿宋_GB2312" w:eastAsia="仿宋_GB2312" w:cs="Times New Roman"/>
          <w:kern w:val="2"/>
          <w:sz w:val="28"/>
          <w:szCs w:val="28"/>
          <w:lang w:val="en-US" w:eastAsia="zh-CN" w:bidi="ar"/>
        </w:rPr>
        <w:t>0</w:t>
      </w:r>
      <w:r>
        <w:rPr>
          <w:rFonts w:hint="eastAsia" w:ascii="仿宋_GB2312" w:hAnsi="Times New Roman" w:eastAsia="仿宋_GB2312" w:cs="Times New Roman"/>
          <w:kern w:val="2"/>
          <w:sz w:val="28"/>
          <w:szCs w:val="28"/>
          <w:lang w:val="en-US" w:eastAsia="zh-CN" w:bidi="ar"/>
        </w:rPr>
        <w:t>辆</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val="en-US" w:eastAsia="zh-CN"/>
        </w:rPr>
        <w:t>0</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cs="Times New Roman"/>
          <w:kern w:val="2"/>
          <w:sz w:val="28"/>
          <w:szCs w:val="28"/>
          <w:lang w:val="en-US" w:eastAsia="zh-CN" w:bidi="ar"/>
        </w:rPr>
        <w:t>0</w:t>
      </w:r>
      <w:r>
        <w:rPr>
          <w:rFonts w:hint="eastAsia" w:ascii="仿宋_GB2312" w:eastAsia="仿宋_GB2312"/>
          <w:sz w:val="28"/>
          <w:szCs w:val="28"/>
        </w:rPr>
        <w:t>万元，主要原因：</w:t>
      </w:r>
      <w:r>
        <w:rPr>
          <w:rFonts w:hint="eastAsia" w:ascii="仿宋_GB2312" w:hAnsi="Times New Roman" w:eastAsia="仿宋_GB2312" w:cs="Times New Roman"/>
          <w:color w:val="000000"/>
          <w:kern w:val="2"/>
          <w:sz w:val="28"/>
          <w:szCs w:val="28"/>
          <w:lang w:val="en-US" w:eastAsia="zh-CN" w:bidi="ar"/>
        </w:rPr>
        <w:t>原因是严格落实公务用车使用规定，认真贯彻厉行节约反对浪费的有关要求，本着节俭高效的原则,进一步加强公务用车管理,减少费用支出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hint="eastAsia" w:ascii="仿宋_GB2312" w:eastAsia="仿宋_GB2312"/>
          <w:sz w:val="28"/>
          <w:szCs w:val="28"/>
          <w:lang w:val="en-US" w:eastAsia="zh-CN"/>
        </w:rPr>
        <w:t>0</w:t>
      </w:r>
      <w:r>
        <w:rPr>
          <w:rFonts w:hint="eastAsia" w:ascii="仿宋_GB2312" w:eastAsia="仿宋_GB2312"/>
          <w:sz w:val="28"/>
          <w:szCs w:val="28"/>
        </w:rPr>
        <w:t>辆。</w:t>
      </w:r>
    </w:p>
    <w:p>
      <w:pPr>
        <w:pStyle w:val="2"/>
        <w:rPr>
          <w:rFonts w:hint="eastAsia"/>
          <w:lang w:eastAsia="zh-CN"/>
        </w:rPr>
      </w:pP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spacing w:line="560" w:lineRule="exact"/>
        <w:ind w:firstLine="560" w:firstLineChars="200"/>
        <w:rPr>
          <w:rFonts w:hint="eastAsia" w:ascii="仿宋_GB2312" w:eastAsia="仿宋_GB2312"/>
          <w:sz w:val="28"/>
          <w:szCs w:val="28"/>
          <w:lang w:eastAsia="zh-CN"/>
        </w:rPr>
      </w:pPr>
      <w:r>
        <w:rPr>
          <w:rFonts w:hint="eastAsia" w:ascii="仿宋_GB2312" w:eastAsia="仿宋_GB2312"/>
          <w:sz w:val="28"/>
          <w:szCs w:val="28"/>
        </w:rPr>
        <w:t>本单位不在机关运行经费统计范围之内</w:t>
      </w:r>
      <w:r>
        <w:rPr>
          <w:rFonts w:hint="eastAsia" w:ascii="仿宋_GB2312" w:eastAsia="仿宋_GB2312"/>
          <w:sz w:val="28"/>
          <w:szCs w:val="28"/>
          <w:lang w:eastAsia="zh-CN"/>
        </w:rPr>
        <w:t>。</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0</w:t>
      </w:r>
      <w:r>
        <w:rPr>
          <w:rFonts w:hint="eastAsia" w:ascii="仿宋_GB2312" w:eastAsia="仿宋_GB2312"/>
          <w:sz w:val="28"/>
          <w:szCs w:val="28"/>
        </w:rPr>
        <w:t>万元，其中：政府采购货物支出</w:t>
      </w:r>
      <w:r>
        <w:rPr>
          <w:rFonts w:hint="eastAsia" w:ascii="仿宋_GB2312" w:eastAsia="仿宋_GB2312"/>
          <w:sz w:val="28"/>
          <w:szCs w:val="28"/>
          <w:lang w:val="en-US" w:eastAsia="zh-CN"/>
        </w:rPr>
        <w:t>0</w:t>
      </w:r>
      <w:r>
        <w:rPr>
          <w:rFonts w:hint="eastAsia" w:ascii="仿宋_GB2312" w:eastAsia="仿宋_GB2312"/>
          <w:sz w:val="28"/>
          <w:szCs w:val="28"/>
        </w:rPr>
        <w:t>万元，政府采购工程支出</w:t>
      </w:r>
      <w:r>
        <w:rPr>
          <w:rFonts w:hint="eastAsia" w:ascii="仿宋_GB2312" w:eastAsia="仿宋_GB2312"/>
          <w:sz w:val="28"/>
          <w:szCs w:val="28"/>
          <w:lang w:val="en-US" w:eastAsia="zh-CN"/>
        </w:rPr>
        <w:t>0</w:t>
      </w:r>
      <w:r>
        <w:rPr>
          <w:rFonts w:hint="eastAsia" w:ascii="仿宋_GB2312" w:eastAsia="仿宋_GB2312"/>
          <w:sz w:val="28"/>
          <w:szCs w:val="28"/>
        </w:rPr>
        <w:t>万元，政府采购服务支出</w:t>
      </w:r>
      <w:r>
        <w:rPr>
          <w:rFonts w:hint="eastAsia" w:ascii="仿宋_GB2312" w:eastAsia="仿宋_GB2312"/>
          <w:sz w:val="28"/>
          <w:szCs w:val="28"/>
          <w:lang w:val="en-US" w:eastAsia="zh-CN"/>
        </w:rPr>
        <w:t>0</w:t>
      </w:r>
      <w:r>
        <w:rPr>
          <w:rFonts w:hint="eastAsia" w:ascii="仿宋_GB2312" w:eastAsia="仿宋_GB2312"/>
          <w:sz w:val="28"/>
          <w:szCs w:val="28"/>
        </w:rPr>
        <w:t>万元。授予中小企业合同金额</w:t>
      </w:r>
      <w:r>
        <w:rPr>
          <w:rFonts w:ascii="仿宋_GB2312" w:eastAsia="仿宋_GB2312"/>
          <w:sz w:val="28"/>
          <w:szCs w:val="28"/>
        </w:rPr>
        <w:t>0</w:t>
      </w:r>
      <w:r>
        <w:rPr>
          <w:rFonts w:hint="eastAsia" w:ascii="仿宋_GB2312" w:eastAsia="仿宋_GB2312"/>
          <w:sz w:val="28"/>
          <w:szCs w:val="28"/>
        </w:rPr>
        <w:t>万元，占政府采购支出总额的</w:t>
      </w:r>
      <w:r>
        <w:rPr>
          <w:rFonts w:hint="eastAsia" w:ascii="仿宋_GB2312" w:eastAsia="仿宋_GB2312"/>
          <w:sz w:val="28"/>
          <w:szCs w:val="28"/>
          <w:lang w:eastAsia="zh-CN"/>
        </w:rPr>
        <w:t>0</w:t>
      </w:r>
      <w:r>
        <w:rPr>
          <w:rFonts w:hint="eastAsia" w:ascii="仿宋_GB2312" w:eastAsia="仿宋_GB2312"/>
          <w:sz w:val="28"/>
          <w:szCs w:val="28"/>
        </w:rPr>
        <w:t>%，其中：授予小微企业合同金额</w:t>
      </w:r>
      <w:r>
        <w:rPr>
          <w:rFonts w:ascii="仿宋_GB2312" w:eastAsia="仿宋_GB2312"/>
          <w:sz w:val="28"/>
          <w:szCs w:val="28"/>
        </w:rPr>
        <w:t>0</w:t>
      </w:r>
      <w:r>
        <w:rPr>
          <w:rFonts w:hint="eastAsia" w:ascii="仿宋_GB2312" w:eastAsia="仿宋_GB2312"/>
          <w:sz w:val="28"/>
          <w:szCs w:val="28"/>
        </w:rPr>
        <w:t>万元，占政府采购支出总额的</w:t>
      </w:r>
      <w:r>
        <w:rPr>
          <w:rFonts w:ascii="仿宋_GB2312" w:eastAsia="仿宋_GB2312"/>
          <w:sz w:val="28"/>
          <w:szCs w:val="28"/>
        </w:rPr>
        <w:t>0</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12月31日，北京市大兴区瀛海第六幼儿园</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0</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.教育支出（类）普通教育（款）学前教育（项）：反映各部门举办的学前教育支出。政府各部门对社会组织等举办的幼儿园的资助，如捐赠、补贴等，也在本科目中反映。</w:t>
      </w:r>
    </w:p>
    <w:p>
      <w:pPr>
        <w:ind w:firstLine="560" w:firstLineChars="200"/>
        <w:rPr>
          <w:rFonts w:hint="eastAsia" w:ascii="仿宋_GB2312" w:eastAsia="仿宋_GB2312"/>
          <w:sz w:val="28"/>
          <w:szCs w:val="28"/>
        </w:rPr>
      </w:pPr>
      <w:r>
        <w:rPr>
          <w:rFonts w:hint="eastAsia" w:ascii="仿宋_GB2312" w:eastAsia="仿宋_GB2312"/>
          <w:sz w:val="28"/>
          <w:szCs w:val="28"/>
          <w:lang w:val="en-US" w:eastAsia="zh-CN"/>
        </w:rPr>
        <w:t>4</w:t>
      </w:r>
      <w:r>
        <w:rPr>
          <w:rFonts w:hint="eastAsia" w:ascii="仿宋_GB2312" w:eastAsia="仿宋_GB2312"/>
          <w:sz w:val="28"/>
          <w:szCs w:val="28"/>
        </w:rPr>
        <w:t>.社会保障和就业支出（类）行政事业单位养老支出（款）机关事业单位基本养老保险缴费支出（项）：反映机关事业单位实施养老保险制度由单位缴纳的基本养老保险支出。</w:t>
      </w:r>
    </w:p>
    <w:p>
      <w:pPr>
        <w:ind w:firstLine="560" w:firstLineChars="200"/>
        <w:rPr>
          <w:rFonts w:hint="eastAsia" w:ascii="仿宋_GB2312" w:eastAsia="仿宋_GB2312"/>
          <w:sz w:val="28"/>
          <w:szCs w:val="28"/>
        </w:rPr>
      </w:pPr>
      <w:r>
        <w:rPr>
          <w:rFonts w:hint="eastAsia" w:ascii="仿宋_GB2312" w:eastAsia="仿宋_GB2312"/>
          <w:sz w:val="28"/>
          <w:szCs w:val="28"/>
          <w:lang w:val="en-US" w:eastAsia="zh-CN"/>
        </w:rPr>
        <w:t>5</w:t>
      </w:r>
      <w:r>
        <w:rPr>
          <w:rFonts w:hint="eastAsia" w:ascii="仿宋_GB2312" w:eastAsia="仿宋_GB2312"/>
          <w:sz w:val="28"/>
          <w:szCs w:val="28"/>
        </w:rPr>
        <w:t>.社会保障和就业支出（类）行政事业单位养老支出（款）机关事业单位职业年金缴费支出（项）：反映机关事业单位实施养老保险制度由单位实际缴纳的职业年金支出。</w:t>
      </w:r>
    </w:p>
    <w:p>
      <w:pPr>
        <w:ind w:firstLine="560" w:firstLineChars="200"/>
        <w:rPr>
          <w:rFonts w:hint="eastAsia" w:ascii="仿宋_GB2312" w:eastAsia="仿宋_GB2312"/>
          <w:sz w:val="28"/>
          <w:szCs w:val="28"/>
        </w:rPr>
      </w:pPr>
      <w:r>
        <w:rPr>
          <w:rFonts w:hint="eastAsia" w:ascii="仿宋_GB2312" w:eastAsia="仿宋_GB2312"/>
          <w:sz w:val="28"/>
          <w:szCs w:val="28"/>
          <w:lang w:val="en-US" w:eastAsia="zh-CN"/>
        </w:rPr>
        <w:t>6</w:t>
      </w:r>
      <w:r>
        <w:rPr>
          <w:rFonts w:hint="eastAsia" w:ascii="仿宋_GB2312" w:eastAsia="仿宋_GB2312"/>
          <w:sz w:val="28"/>
          <w:szCs w:val="28"/>
        </w:rPr>
        <w:t>.卫生健康支出（类）行政事业单位医疗（款）事业单位医疗（项）：反映财政部门安排的事业单位基本医疗保险缴费经费，未参加医疗保险的事业单位的公费医疗经费，按国家规定享受离休人员待遇的医疗经费。</w:t>
      </w:r>
    </w:p>
    <w:p>
      <w:pPr>
        <w:ind w:firstLine="560" w:firstLineChars="200"/>
        <w:rPr>
          <w:rFonts w:hint="eastAsia" w:ascii="仿宋_GB2312" w:eastAsia="仿宋_GB2312"/>
          <w:sz w:val="28"/>
          <w:szCs w:val="28"/>
        </w:rPr>
      </w:pPr>
      <w:r>
        <w:rPr>
          <w:rFonts w:hint="eastAsia" w:ascii="仿宋_GB2312" w:eastAsia="仿宋_GB2312"/>
          <w:sz w:val="28"/>
          <w:szCs w:val="28"/>
          <w:lang w:val="en-US" w:eastAsia="zh-CN"/>
        </w:rPr>
        <w:t>7</w:t>
      </w:r>
      <w:r>
        <w:rPr>
          <w:rFonts w:hint="eastAsia" w:ascii="仿宋_GB2312" w:eastAsia="仿宋_GB2312"/>
          <w:sz w:val="28"/>
          <w:szCs w:val="28"/>
        </w:rPr>
        <w:t>.卫生健康支出（类）行政事业单位医疗（款）公务员医疗补助（项）：反映财政部门安排的公务员医疗补助经费。</w:t>
      </w:r>
    </w:p>
    <w:p>
      <w:pPr>
        <w:jc w:val="both"/>
        <w:rPr>
          <w:rFonts w:hint="eastAsia" w:ascii="黑体" w:eastAsia="黑体"/>
          <w:sz w:val="32"/>
          <w:szCs w:val="32"/>
        </w:rPr>
      </w:pPr>
    </w:p>
    <w:p>
      <w:pPr>
        <w:tabs>
          <w:tab w:val="center" w:pos="6979"/>
        </w:tabs>
        <w:spacing w:line="380" w:lineRule="exact"/>
        <w:jc w:val="center"/>
        <w:rPr>
          <w:rFonts w:ascii="宋体" w:hAnsi="宋体" w:cs="宋体"/>
          <w:b/>
          <w:bCs/>
          <w:kern w:val="0"/>
          <w:sz w:val="28"/>
          <w:szCs w:val="28"/>
        </w:rPr>
      </w:pPr>
    </w:p>
    <w:p>
      <w:pPr>
        <w:tabs>
          <w:tab w:val="center" w:pos="6979"/>
        </w:tabs>
        <w:spacing w:line="380" w:lineRule="exact"/>
        <w:jc w:val="center"/>
        <w:rPr>
          <w:rFonts w:ascii="宋体" w:hAnsi="宋体" w:cs="宋体"/>
          <w:b/>
          <w:bCs/>
          <w:kern w:val="0"/>
          <w:sz w:val="28"/>
          <w:szCs w:val="28"/>
        </w:rPr>
      </w:pPr>
    </w:p>
    <w:p>
      <w:pPr>
        <w:jc w:val="both"/>
        <w:rPr>
          <w:rFonts w:hint="eastAsia" w:ascii="黑体" w:eastAsia="黑体"/>
          <w:sz w:val="32"/>
          <w:szCs w:val="32"/>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numPr>
          <w:ilvl w:val="0"/>
          <w:numId w:val="0"/>
        </w:numPr>
        <w:ind w:firstLine="280" w:firstLineChars="100"/>
        <w:jc w:val="center"/>
        <w:rPr>
          <w:rFonts w:ascii="黑体" w:eastAsia="黑体"/>
          <w:sz w:val="28"/>
          <w:szCs w:val="28"/>
          <w:highlight w:val="none"/>
        </w:rPr>
      </w:pPr>
      <w:r>
        <w:rPr>
          <w:rFonts w:hint="eastAsia" w:ascii="黑体" w:eastAsia="黑体"/>
          <w:sz w:val="28"/>
          <w:szCs w:val="28"/>
          <w:highlight w:val="none"/>
        </w:rPr>
        <w:t>项目</w:t>
      </w:r>
      <w:r>
        <w:rPr>
          <w:rFonts w:ascii="黑体" w:eastAsia="黑体"/>
          <w:sz w:val="28"/>
          <w:szCs w:val="28"/>
          <w:highlight w:val="none"/>
        </w:rPr>
        <w:t>支出绩效自评表</w:t>
      </w:r>
      <w:r>
        <w:rPr>
          <w:rFonts w:hint="eastAsia" w:ascii="黑体" w:eastAsia="黑体"/>
          <w:sz w:val="28"/>
          <w:szCs w:val="28"/>
          <w:highlight w:val="none"/>
          <w:lang w:eastAsia="zh-CN"/>
        </w:rPr>
        <w:t>（详见附件）</w:t>
      </w:r>
    </w:p>
    <w:p>
      <w:pPr>
        <w:spacing w:line="480" w:lineRule="exact"/>
      </w:pPr>
      <w:r>
        <w:rPr>
          <w:rFonts w:hint="eastAsia" w:ascii="黑体" w:eastAsia="黑体"/>
          <w:sz w:val="28"/>
          <w:szCs w:val="28"/>
        </w:rPr>
        <w:t xml:space="preserve"> </w:t>
      </w: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4ABECAF"/>
    <w:multiLevelType w:val="singleLevel"/>
    <w:tmpl w:val="E4ABECAF"/>
    <w:lvl w:ilvl="0" w:tentative="0">
      <w:start w:val="2"/>
      <w:numFmt w:val="decimal"/>
      <w:lvlText w:val="%1."/>
      <w:lvlJc w:val="left"/>
      <w:pPr>
        <w:tabs>
          <w:tab w:val="left" w:pos="312"/>
        </w:tabs>
      </w:pPr>
    </w:lvl>
  </w:abstractNum>
  <w:abstractNum w:abstractNumId="1">
    <w:nsid w:val="39C7B24E"/>
    <w:multiLevelType w:val="singleLevel"/>
    <w:tmpl w:val="39C7B24E"/>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jJmMDcwODI0MzYzNmY2YjMyODUyYmQ3MmNmZTM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542F2C"/>
    <w:rsid w:val="0F8E2C57"/>
    <w:rsid w:val="1059665E"/>
    <w:rsid w:val="10AC13BA"/>
    <w:rsid w:val="145A6C1B"/>
    <w:rsid w:val="14B73493"/>
    <w:rsid w:val="167A2FF9"/>
    <w:rsid w:val="1764587C"/>
    <w:rsid w:val="18581C69"/>
    <w:rsid w:val="1AEC0734"/>
    <w:rsid w:val="1DEF20B0"/>
    <w:rsid w:val="1FEF073A"/>
    <w:rsid w:val="1FF7AB17"/>
    <w:rsid w:val="214243FA"/>
    <w:rsid w:val="21AD613C"/>
    <w:rsid w:val="22467189"/>
    <w:rsid w:val="257A14F5"/>
    <w:rsid w:val="27196C26"/>
    <w:rsid w:val="29EF086F"/>
    <w:rsid w:val="2BC34C59"/>
    <w:rsid w:val="2EFFE297"/>
    <w:rsid w:val="301437CA"/>
    <w:rsid w:val="337B4EF0"/>
    <w:rsid w:val="349D1F0A"/>
    <w:rsid w:val="34DD0473"/>
    <w:rsid w:val="3A8E35DC"/>
    <w:rsid w:val="3C684897"/>
    <w:rsid w:val="3FDF15BB"/>
    <w:rsid w:val="433E495C"/>
    <w:rsid w:val="43537359"/>
    <w:rsid w:val="489F2FD7"/>
    <w:rsid w:val="4AC27CB3"/>
    <w:rsid w:val="4BBD7D6B"/>
    <w:rsid w:val="4BF72BEF"/>
    <w:rsid w:val="4D2B5A65"/>
    <w:rsid w:val="4FA90297"/>
    <w:rsid w:val="4FC41A43"/>
    <w:rsid w:val="51DB3C59"/>
    <w:rsid w:val="550C0952"/>
    <w:rsid w:val="55762E42"/>
    <w:rsid w:val="57A7B272"/>
    <w:rsid w:val="58470068"/>
    <w:rsid w:val="58747CAC"/>
    <w:rsid w:val="58B007B7"/>
    <w:rsid w:val="5A1720F9"/>
    <w:rsid w:val="5B9C37C2"/>
    <w:rsid w:val="5BA7C654"/>
    <w:rsid w:val="5DF716AE"/>
    <w:rsid w:val="5E710409"/>
    <w:rsid w:val="5F9F507E"/>
    <w:rsid w:val="60A54109"/>
    <w:rsid w:val="61D01CDF"/>
    <w:rsid w:val="632762F2"/>
    <w:rsid w:val="64C0607C"/>
    <w:rsid w:val="65756C86"/>
    <w:rsid w:val="674D385B"/>
    <w:rsid w:val="676F09E1"/>
    <w:rsid w:val="6D104A93"/>
    <w:rsid w:val="6DD8515D"/>
    <w:rsid w:val="71691990"/>
    <w:rsid w:val="71793A80"/>
    <w:rsid w:val="7357290B"/>
    <w:rsid w:val="756E3DEA"/>
    <w:rsid w:val="76FB1693"/>
    <w:rsid w:val="798524E4"/>
    <w:rsid w:val="7A7F1C49"/>
    <w:rsid w:val="7B5B7AE6"/>
    <w:rsid w:val="7B7B6628"/>
    <w:rsid w:val="7BA7071E"/>
    <w:rsid w:val="7BDF6DA8"/>
    <w:rsid w:val="7C7EDC1A"/>
    <w:rsid w:val="7CCED98D"/>
    <w:rsid w:val="7D08410F"/>
    <w:rsid w:val="7DB96DED"/>
    <w:rsid w:val="7DD3AD81"/>
    <w:rsid w:val="7DFFF77E"/>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200.56</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33.39</c:v>
                </c:pt>
                <c:pt idx="1">
                  <c:v>167.16</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2924</Words>
  <Characters>3270</Characters>
  <Lines>44</Lines>
  <Paragraphs>12</Paragraphs>
  <TotalTime>3</TotalTime>
  <ScaleCrop>false</ScaleCrop>
  <LinksUpToDate>false</LinksUpToDate>
  <CharactersWithSpaces>3291</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pc</cp:lastModifiedBy>
  <cp:lastPrinted>2020-08-09T03:39:00Z</cp:lastPrinted>
  <dcterms:modified xsi:type="dcterms:W3CDTF">2025-11-06T09:17:17Z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A7F78878FB63AC2F75B4B7682BD79272</vt:lpwstr>
  </property>
  <property fmtid="{D5CDD505-2E9C-101B-9397-08002B2CF9AE}" pid="4" name="KSOTemplateDocerSaveRecord">
    <vt:lpwstr>eyJoZGlkIjoiMjQwNjQzNTg4ZDE0ZTBiOGFjNjE4NDNkMzM5NWRjMzIiLCJ1c2VySWQiOiI4OTI4ODkxNzIifQ==</vt:lpwstr>
  </property>
</Properties>
</file>