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mc:AlternateContent>
          <mc:Choice Requires="wps">
            <w:drawing>
              <wp:inline distT="0" distB="0" distL="114300" distR="114300">
                <wp:extent cx="635" cy="0"/>
                <wp:effectExtent l="0" t="0" r="0" b="0"/>
                <wp:docPr id="1" name="矩形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35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矩形 2" o:spid="_x0000_s1026" o:spt="1" style="height:0pt;width:0.05pt;" filled="f" stroked="f" coordsize="21600,21600" o:gfxdata="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附件:2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hAnsi="宋体" w:eastAsia="方正小标宋简体" w:cs="宋体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44"/>
        </w:rPr>
        <w:t>第二部分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hAnsi="文星标宋" w:eastAsia="方正小标宋简体" w:cs="Tahoma"/>
          <w:color w:val="000000"/>
          <w:sz w:val="44"/>
          <w:szCs w:val="44"/>
        </w:rPr>
      </w:pP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大兴区政务服务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lang w:eastAsia="zh-CN"/>
        </w:rPr>
        <w:t>和数据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管理局部门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hAnsi="文星标宋" w:eastAsia="方正小标宋简体" w:cs="Tahoma"/>
          <w:color w:val="000000"/>
          <w:sz w:val="44"/>
          <w:szCs w:val="44"/>
        </w:rPr>
      </w:pP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202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lang w:val="en-US" w:eastAsia="zh-CN"/>
        </w:rPr>
        <w:t>5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年预算情况说明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ascii="仿宋_GB2312" w:hAnsi="Tahoma" w:eastAsia="仿宋_GB2312" w:cs="Tahoma"/>
          <w:color w:val="000000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一、部门基本情况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（一）部门职责：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北京市大兴区政务服务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和数据</w:t>
      </w:r>
      <w:r>
        <w:rPr>
          <w:rFonts w:hint="eastAsia" w:ascii="仿宋_GB2312" w:hAnsi="仿宋" w:eastAsia="仿宋_GB2312"/>
          <w:sz w:val="32"/>
          <w:szCs w:val="32"/>
        </w:rPr>
        <w:t>管理局（以下简称“政务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和数据</w:t>
      </w:r>
      <w:r>
        <w:rPr>
          <w:rFonts w:hint="eastAsia" w:ascii="仿宋_GB2312" w:hAnsi="仿宋" w:eastAsia="仿宋_GB2312"/>
          <w:sz w:val="32"/>
          <w:szCs w:val="32"/>
        </w:rPr>
        <w:t>局”）为区属一级预算单位，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是区政府工作部门，为正处级。负责贯彻落实党中央关于政务服务和数据管理工作的方针政策、决策部署以及市委、区委有关工作要求，把坚持党对政务服务和数据管理工作的领导落实到履行职责过程中。</w:t>
      </w:r>
      <w:r>
        <w:rPr>
          <w:rFonts w:hint="eastAsia" w:ascii="仿宋_GB2312" w:hAnsi="仿宋" w:eastAsia="仿宋_GB2312"/>
          <w:sz w:val="32"/>
          <w:szCs w:val="32"/>
        </w:rPr>
        <w:t>部门主要职责如下：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贯彻落实本市有关地方性法规、政府规章，拟订本区有关管理办法。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统筹推进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本区政府职能转变和行政审批制度改革工作。拟订改革规划、计划和相关政策措施并组织实施。组织开展重大问题调查研究，协调解决改革中遇到的重点难点问题。优化政务服务效能，推动“高效办成一件事”，协调、指导、督促各部门落实改革任务。规范管理本区行政许可等政务服务事项，规范行政备案、办事证明等管理服务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协调推进</w:t>
      </w:r>
      <w:r>
        <w:rPr>
          <w:rFonts w:hint="eastAsia" w:ascii="仿宋_GB2312" w:hAnsi="仿宋" w:eastAsia="仿宋_GB2312"/>
          <w:sz w:val="32"/>
          <w:szCs w:val="32"/>
        </w:rPr>
        <w:t>本区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政务服务体系建设。组织推动政务服务标准化、规范化、便利化。</w:t>
      </w:r>
      <w:r>
        <w:rPr>
          <w:rFonts w:hint="eastAsia" w:ascii="仿宋_GB2312" w:hAnsi="仿宋" w:eastAsia="仿宋_GB2312"/>
          <w:sz w:val="32"/>
          <w:szCs w:val="32"/>
        </w:rPr>
        <w:t>指导、协调、监督各级各类政务服务平台的建设、管理工作。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统筹指导本区政务服务专业化队伍建设。负责大兴区政务服务中心的建设、运行和管理。协调推动政务服务区域协同发展工作。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统筹推进本区数字政务建设。统筹本区政务服务“一张网”和一体化政务服务平台的建设、管理工作，协调推进本区与市级政务服务平台的信息共享与业务协同。统筹协调政务服务信息化建设。推进、指导、监督本区政府网站建设、发展，</w:t>
      </w:r>
      <w:r>
        <w:rPr>
          <w:rFonts w:hint="eastAsia" w:ascii="仿宋_GB2312" w:hAnsi="仿宋" w:eastAsia="仿宋_GB2312"/>
          <w:sz w:val="32"/>
          <w:szCs w:val="32"/>
        </w:rPr>
        <w:t>负责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政府系统政务新媒体的运行监管。负责区政府门户网站的管理工作。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负责推进、指导、协调、监督本区政府信息公开和政务公开工作。依法协调受理公民、法人或其他组织获取区政府信息的申请。组织推进政务公开和政策服务制度化、信息化、标准化建设。统筹协调本区政府系统政务公开渠道建设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统筹推进智慧城市建设和本区数据工作。组织拟订智慧城市建设、数据工作及有关数字基础设施布局规划，协调推进有关数字基础设施布局建设。协调推动公共服务和社会治理信息化。配合市级部门协调推进数据领域核心技术、关键设备等创新攻关和应用推广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统筹推进本区数据要素发展，建立完善数据资源管理体系。组织落实数据基础制度及数据要素产权、流通、分配、治理等管理制度。统筹协调本区政务信息安全管理工作。贯彻落实市级数据安全相关政策。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统筹数据资源整合共享和开发利用。协调推进数据资源分类分级管理，组织推动公共数据资源开发利用，推动信息资源跨行业跨部门互联互通。负责</w:t>
      </w:r>
      <w:r>
        <w:rPr>
          <w:rFonts w:hint="eastAsia" w:ascii="仿宋_GB2312" w:hAnsi="仿宋" w:eastAsia="仿宋_GB2312"/>
          <w:sz w:val="32"/>
          <w:szCs w:val="32"/>
        </w:rPr>
        <w:t>政务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数据和相关社会数据的融合、管理、应用和服务体系建设工作。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Arial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完成区委、区政府交办的其他任务。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Arial"/>
          <w:color w:val="000000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sz w:val="32"/>
          <w:szCs w:val="32"/>
        </w:rPr>
        <w:t>（二）机构设置情况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30"/>
        <w:jc w:val="left"/>
        <w:textAlignment w:val="auto"/>
        <w:rPr>
          <w:rFonts w:hint="eastAsia" w:ascii="仿宋" w:hAnsi="仿宋" w:eastAsia="仿宋" w:cs="Arial"/>
          <w:color w:val="000000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sz w:val="32"/>
          <w:szCs w:val="32"/>
        </w:rPr>
        <w:t>我单位年末机构数为6个，包括北京市大兴区政务服务和数据管理局（机关单位）、北京市大兴区政府信息公开管理服务中心、北京市大兴区互联网政务服务管理中心、北京市大兴区商事税务服务中心、北京市大兴区不动产交易服务中心（公共资源交易中心）和北京市大兴区大数据中心（事业单位，财务不独立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30"/>
        <w:jc w:val="left"/>
        <w:textAlignment w:val="auto"/>
        <w:rPr>
          <w:rFonts w:ascii="仿宋" w:hAnsi="仿宋" w:eastAsia="仿宋" w:cs="Arial"/>
          <w:color w:val="000000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sz w:val="32"/>
          <w:szCs w:val="32"/>
        </w:rPr>
        <w:t>本单位无行政事业性项目收费。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30"/>
        <w:jc w:val="left"/>
        <w:textAlignment w:val="auto"/>
        <w:rPr>
          <w:rFonts w:ascii="仿宋" w:hAnsi="仿宋" w:eastAsia="仿宋" w:cs="Arial"/>
          <w:color w:val="000000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sz w:val="32"/>
          <w:szCs w:val="32"/>
        </w:rPr>
        <w:t>（三）单位性质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30"/>
        <w:jc w:val="left"/>
        <w:textAlignment w:val="auto"/>
        <w:rPr>
          <w:rFonts w:hint="eastAsia" w:ascii="仿宋" w:hAnsi="仿宋" w:eastAsia="仿宋" w:cs="Arial"/>
          <w:color w:val="000000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sz w:val="32"/>
          <w:szCs w:val="32"/>
        </w:rPr>
        <w:t>大兴区政务服务</w:t>
      </w:r>
      <w:r>
        <w:rPr>
          <w:rFonts w:hint="eastAsia" w:ascii="仿宋" w:hAnsi="仿宋" w:eastAsia="仿宋" w:cs="Arial"/>
          <w:color w:val="000000"/>
          <w:sz w:val="32"/>
          <w:szCs w:val="32"/>
          <w:lang w:eastAsia="zh-CN"/>
        </w:rPr>
        <w:t>和数据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管理局（机关单位）为区属一级预算单位，成立于20</w:t>
      </w:r>
      <w:r>
        <w:rPr>
          <w:rFonts w:hint="eastAsia" w:ascii="仿宋" w:hAnsi="仿宋" w:eastAsia="仿宋" w:cs="Arial"/>
          <w:color w:val="000000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年，包含</w:t>
      </w:r>
      <w:r>
        <w:rPr>
          <w:rFonts w:hint="eastAsia" w:ascii="仿宋" w:hAnsi="仿宋" w:eastAsia="仿宋" w:cs="Arial"/>
          <w:color w:val="000000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个机关事业单位，包括北京市大兴区政务服务和数据管理局（机关单位）、北京市大兴区政府信息公开管理服务中心、北京市大兴区互联网政务服务管理中心、北京市大兴区商事税务服务中心、北京市大兴区不动产交易服务中心（公共资源交易中心）和北京市大兴区大数据中心（事业单位，财务不独立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left="630"/>
        <w:jc w:val="left"/>
        <w:textAlignment w:val="auto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（四）人员情况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我单位共有行政编制15个，公益一类事业编制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50</w:t>
      </w:r>
      <w:r>
        <w:rPr>
          <w:rFonts w:hint="eastAsia" w:ascii="仿宋_GB2312" w:hAnsi="仿宋" w:eastAsia="仿宋_GB2312"/>
          <w:sz w:val="32"/>
          <w:szCs w:val="32"/>
        </w:rPr>
        <w:t>个，202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年末实有人数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57</w:t>
      </w:r>
      <w:r>
        <w:rPr>
          <w:rFonts w:hint="eastAsia" w:ascii="仿宋_GB2312" w:hAnsi="仿宋" w:eastAsia="仿宋_GB2312"/>
          <w:sz w:val="32"/>
          <w:szCs w:val="32"/>
        </w:rPr>
        <w:t>人。其中公务员1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人；公益一类事业编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43</w:t>
      </w:r>
      <w:r>
        <w:rPr>
          <w:rFonts w:hint="eastAsia" w:ascii="仿宋_GB2312" w:hAnsi="仿宋" w:eastAsia="仿宋_GB2312"/>
          <w:sz w:val="32"/>
          <w:szCs w:val="32"/>
        </w:rPr>
        <w:t>人。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left="359" w:leftChars="171" w:firstLine="320" w:firstLineChars="100"/>
        <w:textAlignment w:val="auto"/>
        <w:rPr>
          <w:rFonts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二、部门预算单位构成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仿宋" w:hAnsi="仿宋" w:eastAsia="仿宋" w:cs="Arial"/>
          <w:color w:val="000000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sz w:val="32"/>
          <w:szCs w:val="32"/>
        </w:rPr>
        <w:t>从预算单位构成看，大兴区政务服务</w:t>
      </w:r>
      <w:r>
        <w:rPr>
          <w:rFonts w:hint="eastAsia" w:ascii="仿宋" w:hAnsi="仿宋" w:eastAsia="仿宋" w:cs="Arial"/>
          <w:color w:val="000000"/>
          <w:sz w:val="32"/>
          <w:szCs w:val="32"/>
          <w:lang w:eastAsia="zh-CN"/>
        </w:rPr>
        <w:t>和数据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管理局部门预算包括：大兴区政务服务</w:t>
      </w:r>
      <w:r>
        <w:rPr>
          <w:rFonts w:hint="eastAsia" w:ascii="仿宋" w:hAnsi="仿宋" w:eastAsia="仿宋" w:cs="Arial"/>
          <w:color w:val="000000"/>
          <w:sz w:val="32"/>
          <w:szCs w:val="32"/>
          <w:lang w:eastAsia="zh-CN"/>
        </w:rPr>
        <w:t>和数据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管理局本级预算和</w:t>
      </w:r>
      <w:r>
        <w:rPr>
          <w:rFonts w:hint="eastAsia" w:ascii="仿宋" w:hAnsi="仿宋" w:eastAsia="仿宋" w:cs="Arial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个下属事业单位预算。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黑体" w:hAnsi="文星标宋" w:eastAsia="黑体" w:cs="宋体"/>
          <w:bCs/>
          <w:color w:val="000000"/>
          <w:kern w:val="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三、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大兴区政务服务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eastAsia="zh-CN"/>
        </w:rPr>
        <w:t>和数据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管理局部门202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年收支预算总表的说明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3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年收入预算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14529.14</w:t>
      </w:r>
      <w:r>
        <w:rPr>
          <w:rFonts w:hint="eastAsia" w:ascii="仿宋" w:hAnsi="仿宋" w:eastAsia="仿宋"/>
          <w:sz w:val="32"/>
          <w:szCs w:val="32"/>
        </w:rPr>
        <w:t>万元，其中一般公共预算财政拨款收入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14526.09</w:t>
      </w:r>
      <w:r>
        <w:rPr>
          <w:rFonts w:hint="eastAsia" w:ascii="仿宋" w:hAnsi="仿宋" w:eastAsia="仿宋"/>
          <w:sz w:val="32"/>
          <w:szCs w:val="32"/>
        </w:rPr>
        <w:t>万元,上年结转结余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3.05</w:t>
      </w:r>
      <w:r>
        <w:rPr>
          <w:rFonts w:hint="eastAsia" w:ascii="仿宋" w:hAnsi="仿宋" w:eastAsia="仿宋"/>
          <w:sz w:val="32"/>
          <w:szCs w:val="32"/>
        </w:rPr>
        <w:t>万元。其中一</w:t>
      </w:r>
      <w:r>
        <w:rPr>
          <w:rFonts w:hint="eastAsia" w:ascii="仿宋" w:hAnsi="仿宋" w:eastAsia="仿宋"/>
          <w:sz w:val="32"/>
          <w:szCs w:val="32"/>
          <w:lang w:eastAsia="zh-CN"/>
        </w:rPr>
        <w:t>般</w:t>
      </w:r>
      <w:r>
        <w:rPr>
          <w:rFonts w:hint="eastAsia" w:ascii="仿宋" w:hAnsi="仿宋" w:eastAsia="仿宋"/>
          <w:sz w:val="32"/>
          <w:szCs w:val="32"/>
        </w:rPr>
        <w:t>公共预算财政拨款较202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年增长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8759.73</w:t>
      </w:r>
      <w:r>
        <w:rPr>
          <w:rFonts w:hint="eastAsia" w:ascii="仿宋" w:hAnsi="仿宋" w:eastAsia="仿宋"/>
          <w:sz w:val="32"/>
          <w:szCs w:val="32"/>
        </w:rPr>
        <w:t>万元。主要涉及</w:t>
      </w:r>
      <w:r>
        <w:rPr>
          <w:rFonts w:hint="eastAsia" w:ascii="仿宋" w:hAnsi="仿宋" w:eastAsia="仿宋"/>
          <w:sz w:val="32"/>
          <w:szCs w:val="32"/>
          <w:lang w:eastAsia="zh-CN"/>
        </w:rPr>
        <w:t>机构改革新增部门，工作职责、项目及人员。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3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年支出预算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14529.14</w:t>
      </w:r>
      <w:r>
        <w:rPr>
          <w:rFonts w:hint="eastAsia" w:ascii="仿宋" w:hAnsi="仿宋" w:eastAsia="仿宋"/>
          <w:sz w:val="32"/>
          <w:szCs w:val="32"/>
        </w:rPr>
        <w:t>万元，其中一般公共服务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14142.31</w:t>
      </w:r>
      <w:r>
        <w:rPr>
          <w:rFonts w:hint="eastAsia" w:ascii="仿宋" w:hAnsi="仿宋" w:eastAsia="仿宋"/>
          <w:sz w:val="32"/>
          <w:szCs w:val="32"/>
        </w:rPr>
        <w:t>万元，较202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年增长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8665.15</w:t>
      </w:r>
      <w:r>
        <w:rPr>
          <w:rFonts w:hint="eastAsia" w:ascii="仿宋" w:hAnsi="仿宋" w:eastAsia="仿宋"/>
          <w:sz w:val="32"/>
          <w:szCs w:val="32"/>
        </w:rPr>
        <w:t>万元。社会保障和就业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216.32</w:t>
      </w:r>
      <w:r>
        <w:rPr>
          <w:rFonts w:hint="eastAsia" w:ascii="仿宋" w:hAnsi="仿宋" w:eastAsia="仿宋"/>
          <w:sz w:val="32"/>
          <w:szCs w:val="32"/>
        </w:rPr>
        <w:t>万元，较202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年增长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53.13</w:t>
      </w:r>
      <w:r>
        <w:rPr>
          <w:rFonts w:hint="eastAsia" w:ascii="仿宋" w:hAnsi="仿宋" w:eastAsia="仿宋"/>
          <w:sz w:val="32"/>
          <w:szCs w:val="32"/>
        </w:rPr>
        <w:t>万元。教育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2.1</w:t>
      </w:r>
      <w:r>
        <w:rPr>
          <w:rFonts w:hint="eastAsia" w:ascii="仿宋" w:hAnsi="仿宋" w:eastAsia="仿宋"/>
          <w:sz w:val="32"/>
          <w:szCs w:val="32"/>
        </w:rPr>
        <w:t>4万元，较202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年减少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1.7</w:t>
      </w:r>
      <w:r>
        <w:rPr>
          <w:rFonts w:hint="eastAsia" w:ascii="仿宋" w:hAnsi="仿宋" w:eastAsia="仿宋"/>
          <w:sz w:val="32"/>
          <w:szCs w:val="32"/>
        </w:rPr>
        <w:t>万元。医疗卫生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165.32</w:t>
      </w:r>
      <w:r>
        <w:rPr>
          <w:rFonts w:hint="eastAsia" w:ascii="仿宋" w:hAnsi="仿宋" w:eastAsia="仿宋"/>
          <w:sz w:val="32"/>
          <w:szCs w:val="32"/>
        </w:rPr>
        <w:t>万元，较202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年增长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41.88</w:t>
      </w:r>
      <w:r>
        <w:rPr>
          <w:rFonts w:hint="eastAsia" w:ascii="仿宋" w:hAnsi="仿宋" w:eastAsia="仿宋"/>
          <w:sz w:val="32"/>
          <w:szCs w:val="32"/>
        </w:rPr>
        <w:t>万元。主要是机构改革新增部门，工作职责、项目及人员。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四、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大兴区政务服务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eastAsia="zh-CN"/>
        </w:rPr>
        <w:t>和数据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管理局部门202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年收入预算表的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30"/>
        <w:jc w:val="left"/>
        <w:textAlignment w:val="auto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202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年收入预算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14529.14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万元，其中：一般公共预算财政拨款收入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14526.09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</w:rPr>
        <w:t>上年结转结余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3.05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30"/>
        <w:jc w:val="left"/>
        <w:textAlignment w:val="auto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一般公共预算财政拨款收入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14526.09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万元，包括：行政运行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451.47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万元，一般行政管理事务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12694.36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万元，事业运行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996.48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万元，培训支出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2.1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4万元，行政单位离退休支出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2.63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万元，机关事业单位基本养老保险缴费支出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142.46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万元，机关事业单位职业年金缴费支出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71.23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万元，行政单位医疗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32.5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万元，事业单位医疗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94.07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万元，公务员医疗补助3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8.75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上年结转结余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3.05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五、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大兴区政务服务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eastAsia="zh-CN"/>
        </w:rPr>
        <w:t>和数据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管理局部门202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年支出预算表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的说明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30"/>
        <w:jc w:val="left"/>
        <w:textAlignment w:val="auto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202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年支出预算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14529.14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万元，包括基本支出1447.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95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万元，项目支出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12697.41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30"/>
        <w:jc w:val="left"/>
        <w:textAlignment w:val="auto"/>
        <w:rPr>
          <w:rFonts w:hint="eastAsia" w:ascii="仿宋_GB2312" w:hAnsi="文星标宋" w:eastAsia="仿宋" w:cs="宋体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202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年支出预算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14529.14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万元，其中：行政运行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451.47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万元，一般行政管理事务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12697.41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万元，事业运行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996.48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万元，培训支出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2.1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4万元，行政单位离退休支出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2.63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万元，机关事业单位基本养老保险缴费支出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142.46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万元，机关事业单位职业年金缴费支出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71.23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万元，行政单位医疗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32.5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万元，事业单位医疗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94.07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万元，公务员医疗补助3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8.75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六、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大兴区政务服务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eastAsia="zh-CN"/>
        </w:rPr>
        <w:t>和数据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管理局部门202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年财政拨款收支预算表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的说明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3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年收入预算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14529.14</w:t>
      </w:r>
      <w:r>
        <w:rPr>
          <w:rFonts w:hint="eastAsia" w:ascii="仿宋" w:hAnsi="仿宋" w:eastAsia="仿宋"/>
          <w:sz w:val="32"/>
          <w:szCs w:val="32"/>
        </w:rPr>
        <w:t>万元，其中一般公共预算财政拨款收入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14526.09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</w:rPr>
        <w:t>上年结转结余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3.05</w:t>
      </w:r>
      <w:r>
        <w:rPr>
          <w:rFonts w:hint="eastAsia" w:ascii="仿宋" w:hAnsi="仿宋" w:eastAsia="仿宋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年支出预算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14529.14</w:t>
      </w:r>
      <w:r>
        <w:rPr>
          <w:rFonts w:hint="eastAsia" w:ascii="仿宋" w:hAnsi="仿宋" w:eastAsia="仿宋"/>
          <w:sz w:val="32"/>
          <w:szCs w:val="32"/>
        </w:rPr>
        <w:t>万元，其中一般公共服务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14145.36</w:t>
      </w:r>
      <w:r>
        <w:rPr>
          <w:rFonts w:hint="eastAsia" w:ascii="仿宋" w:hAnsi="仿宋" w:eastAsia="仿宋"/>
          <w:sz w:val="32"/>
          <w:szCs w:val="32"/>
        </w:rPr>
        <w:t>万元，社会保障和就业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216.32</w:t>
      </w:r>
      <w:r>
        <w:rPr>
          <w:rFonts w:hint="eastAsia" w:ascii="仿宋" w:hAnsi="仿宋" w:eastAsia="仿宋"/>
          <w:sz w:val="32"/>
          <w:szCs w:val="32"/>
        </w:rPr>
        <w:t>万元，教育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2.14</w:t>
      </w:r>
      <w:r>
        <w:rPr>
          <w:rFonts w:hint="eastAsia" w:ascii="仿宋" w:hAnsi="仿宋" w:eastAsia="仿宋"/>
          <w:sz w:val="32"/>
          <w:szCs w:val="32"/>
        </w:rPr>
        <w:t>万元，医疗卫生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165.32</w:t>
      </w:r>
      <w:r>
        <w:rPr>
          <w:rFonts w:hint="eastAsia" w:ascii="仿宋" w:hAnsi="仿宋" w:eastAsia="仿宋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大兴区政务服务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eastAsia="zh-CN"/>
        </w:rPr>
        <w:t>和数据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管理局部门202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年财政拨款支出预算表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的说明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30"/>
        <w:jc w:val="left"/>
        <w:textAlignment w:val="auto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202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年收入预算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14529.14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万元，其中：一般公共预算财政拨款收入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14526.09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30"/>
        <w:jc w:val="left"/>
        <w:textAlignment w:val="auto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一般公共预算财政拨款支出预算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14526.09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万元，包括：行政运行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451.47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万元，一般行政管理事务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12694.36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万元，事业运行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996.48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万元，培训支出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2.1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4万元，行政单位离退休支出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2.63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万元，机关事业单位基本养老保险缴费支出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142.46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万元，机关事业单位职业年金缴费支出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71.23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万元，行政单位医疗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32.5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万元，事业单位医疗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94.07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万元，公务员医疗补助3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8.75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八、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大兴区政务服务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eastAsia="zh-CN"/>
        </w:rPr>
        <w:t>和数据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管理局部门202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年一般公共预算财政拨款支出预算表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的说明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30"/>
        <w:jc w:val="left"/>
        <w:textAlignment w:val="auto"/>
        <w:rPr>
          <w:rFonts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202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年收入预算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14529.14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万元，包括基本支出1447.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95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万元，项目支出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12697.41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万元。其中：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3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行政运行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451.47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万元，其中基本支出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345.46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万元。行政运行与202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年收入预算中的行政运行相比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24.13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万元，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了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5.6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%。主要原因为：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主要原因为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202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</w:rPr>
        <w:t>机构改革新增部门，工作职责、项目及人员。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30"/>
        <w:jc w:val="left"/>
        <w:textAlignment w:val="auto"/>
        <w:rPr>
          <w:rFonts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一般行政管理事务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12697.41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万元，其中项目支出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12697.41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万元。一般行政管理事务与202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年相比增加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8378.05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万元，增加了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194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%。主要原因为202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</w:rPr>
        <w:t>机构改革新增部门，工作职责、项目及人员。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全年项目调整增幅较大。综上所述，202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年一般行政管理事务较202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年年初预算有所增加。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30"/>
        <w:jc w:val="left"/>
        <w:textAlignment w:val="auto"/>
        <w:rPr>
          <w:rFonts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事业运行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996.48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万元，比202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年增加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262.96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万元，增加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36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%。主要原因为202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</w:rPr>
        <w:t>机构改革新增部门，工作职责、项目及人员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故事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业运行经费有所增加。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30"/>
        <w:jc w:val="left"/>
        <w:textAlignment w:val="auto"/>
        <w:rPr>
          <w:rFonts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培训支出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2.1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4万元，202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年培训支出收入预算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2.1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4万元，比202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年减少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1.7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万元，减少了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44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%。主要是202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工作内容有所调整。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社会保障和就业支出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216.32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万元，包括行政单位离退休支出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2.63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万元，机关事业单位基本养老保险缴费支出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142.46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万元，机关事业单位职业年金缴费支出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71.23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万元，202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</w:rPr>
        <w:t>机构改革新增部门，工作职责、项目及人员</w:t>
      </w:r>
      <w:r>
        <w:rPr>
          <w:rFonts w:hint="eastAsia" w:ascii="仿宋" w:hAnsi="仿宋" w:eastAsia="仿宋"/>
          <w:sz w:val="32"/>
          <w:szCs w:val="32"/>
          <w:lang w:eastAsia="zh-CN"/>
        </w:rPr>
        <w:t>，故社会保障和就业支出有所增加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医疗卫生与计划生育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165.32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万元，其中行政单位医疗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32.5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万元,事业单位医疗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94.07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万元，公务员医疗补助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38.75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万元。202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</w:rPr>
        <w:t>机构改革新增部门，工作职责、项目及人员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，故医疗卫生与计划生育支出有所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九、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大兴区政务服务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eastAsia="zh-CN"/>
        </w:rPr>
        <w:t>和数据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管理局部门202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年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一般公共预算财政拨款基本支出预算表的说明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30"/>
        <w:jc w:val="left"/>
        <w:textAlignment w:val="auto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202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年一般公共预算财政拨款基本支出1447.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95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万元，包括人员支出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1720.9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万元，公用支出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108.69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3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202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年工资福利支出收入预算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1720.9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万元，其中：基本工资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218.01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万元，津贴补贴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336.39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万元，奖金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97.35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万元；绩效工资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546.64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万元，机关事业单位基本养老保险缴费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142.46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万元，机关事业单位职业年金缴费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71.23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万元，职工基本医疗保险缴费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126.57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万元，公务员医疗补助缴费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38.75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万元，住房公积金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136.07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万元，社会保险缴费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7.43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万元。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3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202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年商品和服务支出收入预算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106.01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万元，其中：办公费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22.68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万元，差旅费1万元，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会议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费0.28万元，工会经费19.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68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万元，福利费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22.6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8万元，其他交通费用12.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95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万元，车辆运行维护费1.80万元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，其他商品和服务支出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24.95万元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30"/>
        <w:jc w:val="left"/>
        <w:textAlignment w:val="auto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202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年社会福利和救助0.0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万元，离退休费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2.63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十、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大兴区政务服务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eastAsia="zh-CN"/>
        </w:rPr>
        <w:t>和数据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管理局部门202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年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政府性基金预算财政拨款支出预算表的说明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5"/>
        <w:textAlignment w:val="auto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我单位不涉及政府性基金，故数据为0。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5"/>
        <w:textAlignment w:val="auto"/>
        <w:rPr>
          <w:rFonts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十一、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大兴区政务服务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eastAsia="zh-CN"/>
        </w:rPr>
        <w:t>和数据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管理局部门202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年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一般公共预算“三公”经费财政拨款支出预算表的说明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（一）“三公”经费的单位范围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我单位因公出国（境）费用、公务接待费、公务用车购置和运行维护费开支单位为政务服务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和数据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管理局本级预算。其他事业单位为非独立核算单位，无财政拨款安排的“三公”经费预算。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（二）“三公”经费预算财政拨款情况说明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年"三公经费"财政拨款预算1.80万元。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持平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。其中：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1、因公出国（境）费用。202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年预算数0元，与上年预算数一致。主要是为节约开支，未安排因公出国事项。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2、公务接待费。202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年预算数0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.28万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元，比上年预算数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增加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0.28万元。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工作职责需要。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3、公务用车购置和运行维护费。202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年预算数1.8万元。其中，公务用车运行维护费1.8万元，与上年预算数一致。公务用车购置费0元，与上年预算数一致。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年我单位共有车辆1辆，为一般公务用车。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outlineLvl w:val="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十二、其他重要事项的情况说明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（一）机关运行经费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</w:t>
      </w:r>
      <w:r>
        <w:rPr>
          <w:rFonts w:ascii="仿宋" w:hAnsi="仿宋" w:eastAsia="仿宋" w:cs="仿宋"/>
          <w:color w:val="000000"/>
          <w:sz w:val="32"/>
          <w:szCs w:val="32"/>
        </w:rPr>
        <w:t>年，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大兴区政务服务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和数据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管理局</w:t>
      </w:r>
      <w:r>
        <w:rPr>
          <w:rFonts w:ascii="仿宋" w:hAnsi="仿宋" w:eastAsia="仿宋" w:cs="仿宋"/>
          <w:color w:val="000000"/>
          <w:sz w:val="32"/>
          <w:szCs w:val="32"/>
        </w:rPr>
        <w:t>的机关运行经费财政拨款预算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106.01</w:t>
      </w:r>
      <w:r>
        <w:rPr>
          <w:rFonts w:ascii="仿宋" w:hAnsi="仿宋" w:eastAsia="仿宋" w:cs="仿宋"/>
          <w:color w:val="000000"/>
          <w:sz w:val="32"/>
          <w:szCs w:val="32"/>
        </w:rPr>
        <w:t>万元，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较202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年增加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35.67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%。</w:t>
      </w:r>
      <w:r>
        <w:rPr>
          <w:rFonts w:ascii="仿宋" w:hAnsi="仿宋" w:eastAsia="仿宋" w:cs="仿宋"/>
          <w:color w:val="000000"/>
          <w:sz w:val="32"/>
          <w:szCs w:val="32"/>
        </w:rPr>
        <w:t>主要是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202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</w:rPr>
        <w:t>机构改革新增部门，工作职责、项目及人员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（二）政府采购情况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年，大兴区政务服务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和数据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管理局政府采购预算总额964万元。其中：政府采购货物0万元，政府采购服务964万元。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（三）国有资产占有使用情况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截止202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年底，本部门固定资产总额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2577.09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万元，其中：车辆1台，38.98万元；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单位价值50万元以上的通用设备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台（套）、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64.28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万元，单位价值100万元以上的专用设备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台（套）、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499.79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（四）预算绩效情况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年，大兴区政务服务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和数据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管理局没有纳入绩效评价试点的项目。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（五）重点行政事业性收费情况说明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年大兴区政务服务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和数据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管理局无行政事业性收费重点项目。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（六）政府购买服务预算说明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年，大兴区政务服务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和数据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管理局政府购买服务项目共计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项，预算总金额4056.94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（七）国有资本经营预算财政拨款情况说明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年，大兴区政务服务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和数据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管理局无国有资本经营预算财政拨款安排的预算。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我部门无独立核算二级单位，部门预算与单位预算一致。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outlineLvl w:val="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十三、名词解释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1、“三公”经费：指本部门当年部门预算安排的因公出国（境）费用、公务接待费、公务用车购置和运行维护费预算数。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、机关运行经费：指为保障行政单位（含参照公务员法管理事业单位）运行用于购买货物和服务的各项资金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textAlignment w:val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10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oaYJL0wAAAAUBAAAPAAAAAAAAAAEAIAAAACIAAABkcnMvZG93bnJldi54bWxQSwECFAAU&#10;AAAACACHTuJACKF0pr0BAABjAwAADgAAAAAAAAABACAAAAAiAQAAZHJzL2Uyb0RvYy54bWxQSwUG&#10;AAAAAAYABgBZAQAAUQ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10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EB90C3"/>
    <w:multiLevelType w:val="singleLevel"/>
    <w:tmpl w:val="93EB90C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CE85AA64"/>
    <w:multiLevelType w:val="singleLevel"/>
    <w:tmpl w:val="CE85AA64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CB24DB"/>
    <w:rsid w:val="003A5CAA"/>
    <w:rsid w:val="005F4A89"/>
    <w:rsid w:val="00716638"/>
    <w:rsid w:val="007265DE"/>
    <w:rsid w:val="00755803"/>
    <w:rsid w:val="007D7790"/>
    <w:rsid w:val="00B046A6"/>
    <w:rsid w:val="00E34BC1"/>
    <w:rsid w:val="02005A7B"/>
    <w:rsid w:val="02506854"/>
    <w:rsid w:val="080D0FF6"/>
    <w:rsid w:val="0C4E22F1"/>
    <w:rsid w:val="0ED96401"/>
    <w:rsid w:val="142F19B5"/>
    <w:rsid w:val="1AB64230"/>
    <w:rsid w:val="1ACB24DB"/>
    <w:rsid w:val="1B723915"/>
    <w:rsid w:val="1D1B54A4"/>
    <w:rsid w:val="23B21F28"/>
    <w:rsid w:val="2B673288"/>
    <w:rsid w:val="3934155C"/>
    <w:rsid w:val="3A4A6414"/>
    <w:rsid w:val="40656255"/>
    <w:rsid w:val="46C62965"/>
    <w:rsid w:val="4E195012"/>
    <w:rsid w:val="65E86631"/>
    <w:rsid w:val="6E106A28"/>
    <w:rsid w:val="6F873E7A"/>
    <w:rsid w:val="77786C20"/>
    <w:rsid w:val="78CC07FF"/>
    <w:rsid w:val="7D87132D"/>
    <w:rsid w:val="7E244437"/>
    <w:rsid w:val="7E62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/>
    </w:rPr>
  </w:style>
  <w:style w:type="paragraph" w:styleId="3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711</Words>
  <Characters>4059</Characters>
  <Lines>33</Lines>
  <Paragraphs>9</Paragraphs>
  <TotalTime>27</TotalTime>
  <ScaleCrop>false</ScaleCrop>
  <LinksUpToDate>false</LinksUpToDate>
  <CharactersWithSpaces>4761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2022-01-21T09:27:00Z</dcterms:created>
  <dc:creator>尤嘉</dc:creator>
  <cp:lastModifiedBy>Admin</cp:lastModifiedBy>
  <cp:lastPrinted>2025-02-07T08:23:22Z</cp:lastPrinted>
  <dcterms:modified xsi:type="dcterms:W3CDTF">2025-02-07T09:19:01Z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