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8F07B8">
      <w:pPr>
        <w:spacing w:line="620" w:lineRule="exact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3</w:t>
      </w:r>
    </w:p>
    <w:p w14:paraId="26104B43">
      <w:pPr>
        <w:spacing w:line="620" w:lineRule="exact"/>
        <w:jc w:val="center"/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  <w:highlight w:val="none"/>
        </w:rPr>
      </w:pP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  <w:highlight w:val="none"/>
        </w:rPr>
        <w:t>第</w:t>
      </w: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  <w:highlight w:val="none"/>
          <w:lang w:eastAsia="zh-CN"/>
        </w:rPr>
        <w:t>二</w:t>
      </w: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  <w:highlight w:val="none"/>
        </w:rPr>
        <w:t>部分</w:t>
      </w:r>
    </w:p>
    <w:p w14:paraId="1E15120D">
      <w:pPr>
        <w:spacing w:line="620" w:lineRule="exact"/>
        <w:jc w:val="center"/>
        <w:rPr>
          <w:rFonts w:hint="eastAsia" w:ascii="方正小标宋简体" w:hAnsi="文星标宋" w:eastAsia="方正小标宋简体" w:cs="Tahoma"/>
          <w:color w:val="000000"/>
          <w:sz w:val="44"/>
          <w:szCs w:val="44"/>
          <w:highlight w:val="none"/>
        </w:rPr>
      </w:pPr>
      <w:r>
        <w:rPr>
          <w:rFonts w:hint="eastAsia" w:ascii="方正小标宋简体" w:hAnsi="文星标宋" w:eastAsia="方正小标宋简体" w:cs="Tahoma"/>
          <w:color w:val="000000"/>
          <w:sz w:val="44"/>
          <w:szCs w:val="44"/>
          <w:highlight w:val="none"/>
        </w:rPr>
        <w:t>大兴区</w:t>
      </w:r>
      <w:r>
        <w:rPr>
          <w:rFonts w:hint="eastAsia" w:ascii="方正小标宋简体" w:hAnsi="文星标宋" w:eastAsia="方正小标宋简体" w:cs="Tahoma"/>
          <w:color w:val="000000"/>
          <w:sz w:val="44"/>
          <w:szCs w:val="44"/>
          <w:highlight w:val="none"/>
          <w:lang w:eastAsia="zh-CN"/>
        </w:rPr>
        <w:t>委</w:t>
      </w:r>
      <w:r>
        <w:rPr>
          <w:rFonts w:hint="eastAsia" w:ascii="方正小标宋简体" w:hAnsi="文星标宋" w:eastAsia="方正小标宋简体" w:cs="Tahoma"/>
          <w:color w:val="000000"/>
          <w:sz w:val="44"/>
          <w:szCs w:val="44"/>
          <w:highlight w:val="none"/>
          <w:lang w:val="en-US" w:eastAsia="zh-CN"/>
        </w:rPr>
        <w:t>宣传部2025</w:t>
      </w:r>
      <w:r>
        <w:rPr>
          <w:rFonts w:hint="eastAsia" w:ascii="方正小标宋简体" w:hAnsi="文星标宋" w:eastAsia="方正小标宋简体" w:cs="Tahoma"/>
          <w:color w:val="000000"/>
          <w:sz w:val="44"/>
          <w:szCs w:val="44"/>
          <w:highlight w:val="none"/>
        </w:rPr>
        <w:t>年预算情况说明</w:t>
      </w:r>
    </w:p>
    <w:p w14:paraId="3ECD153D">
      <w:pPr>
        <w:spacing w:line="620" w:lineRule="exact"/>
        <w:rPr>
          <w:rFonts w:hint="eastAsia" w:ascii="仿宋_GB2312" w:hAnsi="Tahoma" w:eastAsia="仿宋_GB2312" w:cs="Tahoma"/>
          <w:color w:val="000000"/>
          <w:sz w:val="32"/>
          <w:szCs w:val="32"/>
          <w:highlight w:val="none"/>
        </w:rPr>
      </w:pPr>
    </w:p>
    <w:p w14:paraId="342AEB13">
      <w:pPr>
        <w:spacing w:line="620" w:lineRule="exact"/>
        <w:ind w:firstLine="640" w:firstLineChars="200"/>
        <w:rPr>
          <w:rFonts w:hint="eastAsia" w:ascii="黑体" w:hAnsi="文星标宋" w:eastAsia="黑体" w:cs="Tahom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文星标宋" w:eastAsia="黑体" w:cs="Tahom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文星标宋" w:eastAsia="黑体" w:cs="Tahoma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部门基本情况</w:t>
      </w:r>
    </w:p>
    <w:p w14:paraId="3BB0E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Cs w:val="28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区委宣传部职能（1）组织、指导、研究全区的理论学习、理论宣传、思想教育、思想理论建设工作。（2）研究、组织、指导、协调全区新闻外宣工作；接待中央、市属及国外新闻单位记者；建设、培训、管理全区外宣队伍。加挂北京市大兴区人民政府新闻办公室（简称区政府新闻办）牌子。（3）组织、指导、协调全区社会宣传和群众文化活动；负责户外宣传、咨询活动的管理。加挂北京市大兴区新闻出版局（简称新闻出版局）牌子，统一管理新闻出版和电影工作。（4）研究、指导、协调宣传口（包括区委网信办、区文旅局、区融媒体中心、区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文</w:t>
      </w:r>
      <w:r>
        <w:rPr>
          <w:rFonts w:hint="eastAsia" w:ascii="仿宋_GB2312" w:eastAsia="仿宋_GB2312"/>
          <w:sz w:val="32"/>
          <w:szCs w:val="32"/>
          <w:highlight w:val="none"/>
        </w:rPr>
        <w:t>联）的业务工作。（5）北京市大兴区精神文明建设委员会办公室设在区委宣传部，负责全区精神文明建设工作的综合协调服务，督促落实大兴区精神文明建设委员会重大决策和重要工作部署。（6）完成区委交办的其它工作。区委宣传部单位性质为行政单位，区委宣传部预算包括：宣传部部本级预算，区委宣传部内设5个科室，分别为：办公室、理论教育科、社会宣传科、新闻外宣科、精神文明建设指导科。部门所属事业单位预算。为：大兴区文化发展促进中心、大兴区精神文明建设促进中心。人员情况：区委宣传部人员情况编制人数行政15人机关工勤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人。共计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  <w:highlight w:val="none"/>
        </w:rPr>
        <w:t>人，实有在职人数1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人。退休人数1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highlight w:val="none"/>
        </w:rPr>
        <w:t>人。事业单位文化发展促进中心编制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  <w:highlight w:val="none"/>
        </w:rPr>
        <w:t>人，实有在职人员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  <w:highlight w:val="none"/>
        </w:rPr>
        <w:t>人；精神文明建设促进中心编制11人，实有在职人员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highlight w:val="none"/>
        </w:rPr>
        <w:t>人。</w:t>
      </w:r>
    </w:p>
    <w:p w14:paraId="1A72F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文星标宋" w:eastAsia="黑体" w:cs="Tahom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文星标宋" w:eastAsia="黑体" w:cs="Tahom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二、部门预算单位构成</w:t>
      </w:r>
    </w:p>
    <w:p w14:paraId="3DA2E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从预算单位构成看，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区委宣传部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预算包括：</w:t>
      </w:r>
      <w:r>
        <w:rPr>
          <w:rFonts w:hint="eastAsia" w:ascii="仿宋_GB2312" w:eastAsia="仿宋_GB2312"/>
          <w:sz w:val="32"/>
          <w:szCs w:val="32"/>
          <w:highlight w:val="none"/>
        </w:rPr>
        <w:t>区委宣传部本级预算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,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部门所属事业单位预算，具体为：</w:t>
      </w:r>
    </w:p>
    <w:p w14:paraId="7FAF2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20" w:firstLineChars="1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1. 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大兴区文化发展促进中心</w:t>
      </w:r>
    </w:p>
    <w:p w14:paraId="41EA3B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20" w:firstLineChars="1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28"/>
          <w:highlight w:val="none"/>
          <w:lang w:val="en-US" w:eastAsia="zh-CN"/>
        </w:rPr>
        <w:t xml:space="preserve">2. </w:t>
      </w:r>
      <w:r>
        <w:rPr>
          <w:rFonts w:hint="eastAsia" w:ascii="仿宋_GB2312" w:hAnsi="仿宋_GB2312" w:eastAsia="仿宋_GB2312" w:cs="仿宋_GB2312"/>
          <w:color w:val="auto"/>
          <w:sz w:val="32"/>
          <w:szCs w:val="28"/>
          <w:highlight w:val="none"/>
        </w:rPr>
        <w:t>大兴区精神文明建设促进中心</w:t>
      </w:r>
    </w:p>
    <w:p w14:paraId="5429E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highlight w:val="none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  <w:t>三、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highlight w:val="none"/>
        </w:rPr>
        <w:t>大兴区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highlight w:val="none"/>
          <w:lang w:eastAsia="zh-CN"/>
        </w:rPr>
        <w:t>委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宣传部2025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highlight w:val="none"/>
        </w:rPr>
        <w:t>年收支预算总表的说明</w:t>
      </w:r>
    </w:p>
    <w:p w14:paraId="15BF6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2025年收入预算总计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4297.102135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万元，其中本年收入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4287.777635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万元，上年结转收入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9.324500万元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；比上年预算数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4242.830090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万元增加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54.272045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万元，主要差异是因为项目资金增多，人员增加。</w:t>
      </w:r>
    </w:p>
    <w:p w14:paraId="21FA9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2025年支出预算总计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4297.102135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万元，其中一般公共服务支出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2707.369906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万元；教育支出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7.330000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万元；文化体育与传媒支出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1321.316820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万元；社会保障和就业支出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152.617544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万元；卫生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健康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108.467865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万元。与上年预算数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4242.830090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万元对比增加增加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54.272045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万元，主要差异是因为项目资金增多，人员增加。</w:t>
      </w:r>
    </w:p>
    <w:p w14:paraId="12123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  <w:t>四、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highlight w:val="none"/>
        </w:rPr>
        <w:t>大兴区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委宣传部2025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highlight w:val="none"/>
        </w:rPr>
        <w:t>年收入预算表的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  <w:t>说明</w:t>
      </w:r>
    </w:p>
    <w:p w14:paraId="5923D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2025年收入预算总计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4297.102135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一般公共预算财政拨款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收入4284.977635万元，上年结转9.324500万元，其他收入2.800000万元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。分别为：</w:t>
      </w:r>
    </w:p>
    <w:p w14:paraId="336CA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（一）一般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公共服务支出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2707.369906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行政运行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521.668012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万元；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事业运行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436.550828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万元；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一般行政管理事务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1749.151066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万元。</w:t>
      </w:r>
      <w:bookmarkStart w:id="0" w:name="_GoBack"/>
      <w:bookmarkEnd w:id="0"/>
    </w:p>
    <w:p w14:paraId="18088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（二）教育支出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7.330000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进修及培训支出7.330000万元，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其中培训支出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7.330000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万元。</w:t>
      </w:r>
    </w:p>
    <w:p w14:paraId="26890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（三）文化体育与传媒支出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1321.316820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其他文化和旅游支出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1302.316820万元，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群众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文化支出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19.000000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万元。</w:t>
      </w:r>
    </w:p>
    <w:p w14:paraId="52969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（四）社会保障和就业支出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152.617544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行政单位离退休7.721000万元，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机关事业养老保险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96.597696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机关事业职业年金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48.298848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 w14:paraId="0923F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（五）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医疗卫生与计划生育支出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108.467865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其中行政单位医疗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41.266075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万元、事业单位医疗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41.779634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万元、公务员医疗补助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25.422156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万元。</w:t>
      </w:r>
    </w:p>
    <w:p w14:paraId="35185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  <w:t>五、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highlight w:val="none"/>
        </w:rPr>
        <w:t>大兴区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区委宣传部2025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highlight w:val="none"/>
        </w:rPr>
        <w:t>年支出预算表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  <w:t>的说明</w:t>
      </w:r>
    </w:p>
    <w:p w14:paraId="38459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2025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年支出预算合计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4297.102135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万元，分别为基本支出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1219.304249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万元，项目支出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3077.797886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万元。</w:t>
      </w:r>
    </w:p>
    <w:p w14:paraId="465C3E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" w:eastAsia="仿宋_GB2312" w:cs="仿宋"/>
          <w:bCs/>
          <w:color w:val="000000"/>
          <w:kern w:val="0"/>
          <w:sz w:val="32"/>
          <w:szCs w:val="32"/>
          <w:highlight w:val="none"/>
        </w:rPr>
        <w:t>基本支出</w:t>
      </w:r>
    </w:p>
    <w:p w14:paraId="52091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1.行政运行521.668012万元，分别是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办公费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19.000000万元、印刷费0.100000万元、差旅费7.000000万元、维修（护）费0.400000万元、邮电费1.200000万元、工会经费15.728900万元、福利费14.700000万元、公务用车购置及运行费3.600000万元（公务用车运行维护费3.600000万元、公务用车购置费0.000000万元）、其他交通费用16.736000万元、办公设备购置0.100000万元、基本工资76.734000万元、津贴补贴190.551512万元、奖金119.454800万元、其他社会保障缴费1.500000万元、住房公积金45.856800万元、奖励金0.006000万元、其他商品和服务支出9.000000万元；</w:t>
      </w:r>
    </w:p>
    <w:p w14:paraId="0636B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eastAsia="仿宋_GB2312"/>
          <w:color w:val="000000"/>
          <w:sz w:val="32"/>
          <w:szCs w:val="32"/>
          <w:highlight w:val="none"/>
          <w:lang w:val="en-US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2.事业运行436.550828万元，分别是基本工资67.401600万元、津贴补贴76.668728万元、绩效工资238.632000万元、其他社会保障缴费7.400000万元、住房公积金46.448500万元；</w:t>
      </w:r>
    </w:p>
    <w:p w14:paraId="119CD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eastAsia="仿宋_GB2312"/>
          <w:color w:val="000000"/>
          <w:sz w:val="32"/>
          <w:szCs w:val="32"/>
          <w:highlight w:val="none"/>
          <w:lang w:val="en-US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3.行政单位离退休7.721000万元,其中，其他商品和服务支出1.163000万元、退休费6.558000万元；</w:t>
      </w:r>
    </w:p>
    <w:p w14:paraId="70246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4.机关事业单位基本养老保险缴费支出96.597696万元；</w:t>
      </w:r>
    </w:p>
    <w:p w14:paraId="00A30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eastAsia="仿宋_GB2312"/>
          <w:color w:val="000000"/>
          <w:sz w:val="32"/>
          <w:szCs w:val="32"/>
          <w:highlight w:val="none"/>
          <w:lang w:val="en-US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5.机关事业单位职业年金缴费支出48.298848万元；</w:t>
      </w:r>
    </w:p>
    <w:p w14:paraId="124BF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6.行政单位医疗，职工基本医疗保险缴费41.266075万元；</w:t>
      </w:r>
    </w:p>
    <w:p w14:paraId="22BAD9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7.事业单位医疗，职工基本医疗保险缴费41.779634万元；</w:t>
      </w:r>
    </w:p>
    <w:p w14:paraId="5C32E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8.公务员医疗补助,公务员医疗补助缴费25.422156万元。</w:t>
      </w:r>
    </w:p>
    <w:p w14:paraId="0EBAE52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项目支出</w:t>
      </w:r>
    </w:p>
    <w:p w14:paraId="13A30B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1.一般行政管理事务1749.151066万元，分别是工会经费2.402352万元、劳务费7.880000万元、委托业务费1428.382214万元、其他商品和服务支出310.486500万元。</w:t>
      </w:r>
    </w:p>
    <w:p w14:paraId="1EE1E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2.教育支出7.330000万元，为培训费。</w:t>
      </w:r>
    </w:p>
    <w:p w14:paraId="4F3EA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3.文化体育与传媒支出1321.316820万元，分别是其他文化和旅游支出1302.316820万元，群众文化支出19.000000万元。</w:t>
      </w:r>
    </w:p>
    <w:p w14:paraId="5484F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文星标宋" w:eastAsia="黑体" w:cs="Tahom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文星标宋" w:eastAsia="黑体" w:cs="Tahom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文星标宋" w:eastAsia="黑体" w:cs="Tahom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黑体" w:hAnsi="文星标宋" w:eastAsia="黑体" w:cs="宋体"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大兴区</w:t>
      </w:r>
      <w:r>
        <w:rPr>
          <w:rFonts w:hint="eastAsia" w:ascii="黑体" w:hAnsi="文星标宋" w:eastAsia="黑体" w:cs="宋体"/>
          <w:bCs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宣传部2025</w:t>
      </w:r>
      <w:r>
        <w:rPr>
          <w:rFonts w:hint="eastAsia" w:ascii="黑体" w:hAnsi="文星标宋" w:eastAsia="黑体" w:cs="宋体"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年财政拨款收支预算表</w:t>
      </w:r>
      <w:r>
        <w:rPr>
          <w:rFonts w:hint="eastAsia" w:ascii="黑体" w:hAnsi="文星标宋" w:eastAsia="黑体" w:cs="Tahom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的说明</w:t>
      </w:r>
    </w:p>
    <w:p w14:paraId="53D7AF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2025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年收入预算总计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4297.102135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万元，其中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本年收入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4287.777635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，上年结转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9.324500万元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；</w:t>
      </w:r>
    </w:p>
    <w:p w14:paraId="38A51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2025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年支出预算总计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4297.102135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万元，其中一般公共服务支出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2707.369906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万元；教育支出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7.330000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万元；文化体育与传媒支出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1321.316820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万元；社会保障和就业支出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152.617544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万元；卫生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健康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108.467865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 w14:paraId="5D33FC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文星标宋" w:eastAsia="黑体" w:cs="Tahom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文星标宋" w:eastAsia="黑体" w:cs="Tahom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七、</w:t>
      </w:r>
      <w:r>
        <w:rPr>
          <w:rFonts w:hint="eastAsia" w:ascii="黑体" w:hAnsi="文星标宋" w:eastAsia="黑体" w:cs="宋体"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大兴区</w:t>
      </w:r>
      <w:r>
        <w:rPr>
          <w:rFonts w:hint="eastAsia" w:ascii="黑体" w:hAnsi="文星标宋" w:eastAsia="黑体" w:cs="宋体"/>
          <w:bCs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区委</w:t>
      </w:r>
      <w:r>
        <w:rPr>
          <w:rFonts w:hint="eastAsia" w:ascii="黑体" w:hAnsi="文星标宋" w:eastAsia="黑体" w:cs="宋体"/>
          <w:bCs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宣传部2025</w:t>
      </w:r>
      <w:r>
        <w:rPr>
          <w:rFonts w:hint="eastAsia" w:ascii="黑体" w:hAnsi="文星标宋" w:eastAsia="黑体" w:cs="宋体"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年一般公共预算财政拨款支出预算表</w:t>
      </w:r>
      <w:r>
        <w:rPr>
          <w:rFonts w:hint="eastAsia" w:ascii="黑体" w:hAnsi="文星标宋" w:eastAsia="黑体" w:cs="Tahom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的说明</w:t>
      </w:r>
    </w:p>
    <w:p w14:paraId="43ACE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highlight w:val="none"/>
          <w:lang w:val="en-US" w:eastAsia="zh-CN"/>
        </w:rPr>
        <w:t>具体情况如下：</w:t>
      </w:r>
    </w:p>
    <w:p w14:paraId="12996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(一)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一般公共服务支出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2707.369906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1.一般行政管理事务1749.151066万元，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比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年执行数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2132.577666万元减少383.4266万元，下降17.9794%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，原因为部分项目资金来源有变化，根据市级部门要求，列支功能科目变化。2.行政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运行521.668012万元,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比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年执行数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517.741631万元增加3.926381万元，增长0.7583%，原因为行政单位人员增加；3.事业运行436.550828万元，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比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年执行数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410.990108万元增加25.56072万元，增长6.2193%，原因为事业单位人员增加、社保、公积金基数增加；</w:t>
      </w:r>
    </w:p>
    <w:p w14:paraId="60275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(二)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教育支出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7.330000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其中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培训支出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7.330000万元，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比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年执行数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8.000000万元减少0.670000万元，下降-8.3750%，原因为该项目2025年预算减少。</w:t>
      </w:r>
    </w:p>
    <w:p w14:paraId="05B93B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(三)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文化体育与传媒支出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1321.316820万元，其中群众文化支出19.000000万元，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比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年执行数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30.003533万元减少11.003533万元，下降36.6741%，原因为群众文化类项目预算减少。其他文化和旅游支出1302.316820万元，比2024年执行数822.037736万元增加480.279084万元，增长58.4254%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，原因为部分项目资金来源有变化，根据市级部门要求，列支功能科目变化。</w:t>
      </w:r>
    </w:p>
    <w:p w14:paraId="4DE1C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（四）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社会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保障和就业支出152.617544万元，其中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行政事业单位离退休7.721000万元，比2024年执行数27.172494万元减少19.451494万元，降低71.5852%，原因为2024年执行数增加1名退休人员一次性抚恤金；机关事业单位职业年金缴费支出48.298848万元，比2024年执行数43.655184万元增加4.643664万元，增长10.6371%，原因为人员增加，机关事业养老保险预算增加；机关事业单位基本养老保险缴费支出96.597696万元，比2024年执行数87.311451万元增加9.286245万元，增长10.6357%，原因为人员增加，机关事业单位基本养老保险预算增加。</w:t>
      </w:r>
    </w:p>
    <w:p w14:paraId="0B671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（五）医疗卫生与计划生育支出108.467865万元，其中的行政单位医疗41.266075万元，比2024年执行数39.848011万元增加1.418064万元，增长3.5586%，原因是人员增加、行政单位医疗预算增加；事业单位医疗41.779634万元，比2024年执行数35.623710万元增加6.155924万元，增长17.2804%，原因为人员增加、事业单位医疗预算增加；公务员医疗补助25.422156万元，比2024年执行数23.103585万元增加2.318571万元，增长10.0355%，原因为人员增加、公务员医疗补助预算增加。</w:t>
      </w:r>
    </w:p>
    <w:p w14:paraId="656C3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（六）住房保障支出0万元，其中的购房补贴0万元，比2024年执行数128.486706万元减少128.486706万元，降低100%，原因为2025年预算中不包含一次性购房补贴。</w:t>
      </w:r>
    </w:p>
    <w:p w14:paraId="4A197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  <w:t>八、大兴区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highlight w:val="none"/>
          <w:lang w:eastAsia="zh-CN"/>
        </w:rPr>
        <w:t>区委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宣传部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  <w:t>年一般公共预算财政拨款基本支出预算表的说明</w:t>
      </w:r>
    </w:p>
    <w:p w14:paraId="08035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2025年一般公共预算财政拨款基本支出合计1219.304249万元。分别为：</w:t>
      </w:r>
    </w:p>
    <w:p w14:paraId="300D9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（一）人员基本支出1130.576349万元。包括：基本工资144.135600万元、津贴补贴267.220240万元、奖金119.454800万元、绩效工资238.632000万元、机关事业单位基本养老保险缴费96.597696万元、职业年金缴费48.298848万元、职工基本医疗保险缴费83.045709万元、公务员医疗补助缴费25.422156万元、其他社会保障缴费8.900000万元、住房公积金92.305300万元、离退休费6.558000万元、社会福利和救助支出0.006000万元。</w:t>
      </w:r>
    </w:p>
    <w:p w14:paraId="1C9E97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（二）公用基本支出88.727900万元。包括：办公费19.000000万元、印刷费0.100000万元、邮电费1.200000万元、差旅费7.000000万元、维修(护)费0.400000万元、工会经费15.728900万元、福利费14.700000万元、公务用车购置及运行费3.60000万元（公务用车维护费3.600000万元、公务用车购置0万元）、其他交通费用16.736000万元、其他商品和服务支出10.163000万元、办公设备购置0.100000万元。</w:t>
      </w:r>
    </w:p>
    <w:p w14:paraId="1CFAD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  <w:t>九、大兴区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highlight w:val="none"/>
          <w:lang w:eastAsia="zh-CN"/>
        </w:rPr>
        <w:t>区委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宣传部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  <w:t>年政府性基金预算财政拨款支出预算表的说明</w:t>
      </w:r>
    </w:p>
    <w:p w14:paraId="5956A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本单位2025年度无政府性基金预算。</w:t>
      </w:r>
    </w:p>
    <w:p w14:paraId="7C07590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  <w:t>大兴区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highlight w:val="none"/>
          <w:lang w:eastAsia="zh-CN"/>
        </w:rPr>
        <w:t>区委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highlight w:val="none"/>
          <w:lang w:val="en-US" w:eastAsia="zh-CN"/>
        </w:rPr>
        <w:t>宣传部2025年国有资本经营预算财政拨款支出预算表的说明</w:t>
      </w:r>
    </w:p>
    <w:p w14:paraId="3AE1B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本单位2025年度无国有资本经营预算财政拨款支出预算。</w:t>
      </w:r>
    </w:p>
    <w:p w14:paraId="6F5DA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  <w:lang w:eastAsia="zh-CN"/>
        </w:rPr>
        <w:t>十一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  <w:t>、大兴区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  <w:lang w:eastAsia="zh-CN"/>
        </w:rPr>
        <w:t>区委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  <w:lang w:val="en-US" w:eastAsia="zh-CN"/>
        </w:rPr>
        <w:t>宣传部2025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  <w:t>年一般公共预算“三公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  <w:lang w:eastAsia="zh-CN"/>
        </w:rPr>
        <w:t>”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  <w:t>经费财政拨款支出预算表的说明</w:t>
      </w:r>
    </w:p>
    <w:p w14:paraId="7D537C00">
      <w:pPr>
        <w:keepNext w:val="0"/>
        <w:keepLines w:val="0"/>
        <w:pageBreakBefore w:val="0"/>
        <w:widowControl w:val="0"/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仿宋_GB2312" w:hAnsi="文星标宋" w:eastAsia="仿宋_GB2312" w:cs="Tahoma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hAnsi="文星标宋" w:eastAsia="仿宋_GB2312" w:cs="Tahoma"/>
          <w:color w:val="000000"/>
          <w:sz w:val="32"/>
          <w:szCs w:val="32"/>
          <w:highlight w:val="none"/>
          <w:lang w:eastAsia="zh-CN"/>
        </w:rPr>
        <w:t>（一）“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三公</w:t>
      </w:r>
      <w:r>
        <w:rPr>
          <w:rFonts w:hint="eastAsia" w:ascii="仿宋_GB2312" w:hAnsi="文星标宋" w:eastAsia="仿宋_GB2312" w:cs="Tahoma"/>
          <w:color w:val="000000"/>
          <w:sz w:val="32"/>
          <w:szCs w:val="32"/>
          <w:highlight w:val="none"/>
          <w:lang w:eastAsia="zh-CN"/>
        </w:rPr>
        <w:t>”经费的单位范围</w:t>
      </w:r>
    </w:p>
    <w:p w14:paraId="12AD625B">
      <w:pPr>
        <w:keepNext w:val="0"/>
        <w:keepLines w:val="0"/>
        <w:pageBreakBefore w:val="0"/>
        <w:widowControl w:val="0"/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区委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宣传部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因公出国（境）费用、公务接待费、公务用车购置和运行维护费开支单位包括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本级预算单位及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所属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事业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单位。</w:t>
      </w:r>
    </w:p>
    <w:p w14:paraId="47BE136E">
      <w:pPr>
        <w:keepNext w:val="0"/>
        <w:keepLines w:val="0"/>
        <w:pageBreakBefore w:val="0"/>
        <w:widowControl w:val="0"/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仿宋_GB2312" w:hAnsi="文星标宋" w:eastAsia="仿宋_GB2312" w:cs="Tahoma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（二）</w:t>
      </w:r>
      <w:r>
        <w:rPr>
          <w:rFonts w:hint="eastAsia" w:ascii="仿宋_GB2312" w:hAnsi="文星标宋" w:eastAsia="仿宋_GB2312" w:cs="Tahoma"/>
          <w:color w:val="000000"/>
          <w:sz w:val="32"/>
          <w:szCs w:val="32"/>
          <w:highlight w:val="none"/>
          <w:lang w:eastAsia="zh-CN"/>
        </w:rPr>
        <w:t>“三公”经费预算财政拨款情况说明</w:t>
      </w:r>
    </w:p>
    <w:p w14:paraId="6CEEC340">
      <w:pPr>
        <w:keepNext w:val="0"/>
        <w:keepLines w:val="0"/>
        <w:pageBreakBefore w:val="0"/>
        <w:widowControl w:val="0"/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1.因公出国（境）费用，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2025预算数0万元，2025年预算执行数0万元。2025预算数为0万元，与上年预算持平。</w:t>
      </w:r>
    </w:p>
    <w:p w14:paraId="7CD62575">
      <w:pPr>
        <w:keepNext w:val="0"/>
        <w:keepLines w:val="0"/>
        <w:pageBreakBefore w:val="0"/>
        <w:widowControl w:val="0"/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2.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公务接待费，2025预算数为0万元，2025年预算执行数0万元。2025预算数为0万元，与上年预算持平。</w:t>
      </w:r>
    </w:p>
    <w:p w14:paraId="1EBABE3B">
      <w:pPr>
        <w:keepNext w:val="0"/>
        <w:keepLines w:val="0"/>
        <w:pageBreakBefore w:val="0"/>
        <w:widowControl w:val="0"/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textAlignment w:val="auto"/>
        <w:outlineLvl w:val="9"/>
        <w:rPr>
          <w:rFonts w:hint="default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公务用车费：公务用车运行维护费，2024年预算数3.600000万元，2024年预算执行0.277550万元，2025年预算数3.600000万元，与上年预算数持平；公务用车购置费，2024年预算数0万元，2024年预算执行0万元，2025年预算数0万元，与上年预算数持平。</w:t>
      </w:r>
    </w:p>
    <w:p w14:paraId="0B40686E">
      <w:pPr>
        <w:keepNext w:val="0"/>
        <w:keepLines w:val="0"/>
        <w:pageBreakBefore w:val="0"/>
        <w:widowControl w:val="0"/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textAlignment w:val="auto"/>
        <w:outlineLvl w:val="9"/>
        <w:rPr>
          <w:rFonts w:hint="eastAsia" w:ascii="黑体" w:hAnsi="文星标宋" w:eastAsia="黑体" w:cs="Tahom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文星标宋" w:eastAsia="黑体" w:cs="Tahom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黑体" w:hAnsi="文星标宋" w:eastAsia="黑体" w:cs="Tahoma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黑体" w:hAnsi="文星标宋" w:eastAsia="黑体" w:cs="Tahom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、其他重要事项的情况说明</w:t>
      </w:r>
    </w:p>
    <w:p w14:paraId="775599F1">
      <w:pPr>
        <w:keepNext w:val="0"/>
        <w:keepLines w:val="0"/>
        <w:pageBreakBefore w:val="0"/>
        <w:widowControl w:val="0"/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textAlignment w:val="auto"/>
        <w:outlineLvl w:val="9"/>
        <w:rPr>
          <w:rFonts w:hint="eastAsia" w:ascii="楷体_GB2312" w:hAnsi="Tahoma" w:eastAsia="楷体_GB2312" w:cs="Tahom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Tahoma" w:eastAsia="楷体_GB2312" w:cs="Tahom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（一）机关运行经费</w:t>
      </w:r>
    </w:p>
    <w:p w14:paraId="49E1FB24">
      <w:pPr>
        <w:keepNext w:val="0"/>
        <w:keepLines w:val="0"/>
        <w:pageBreakBefore w:val="0"/>
        <w:widowControl w:val="0"/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2025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年，区委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宣传部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本级及所属单位的机关运行经费财政拨款预算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88.727900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万元，较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74.159000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增加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19.6455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%,主要原因是：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公用支出增加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机构日常运转经费增加。</w:t>
      </w:r>
    </w:p>
    <w:p w14:paraId="50E3134E">
      <w:pPr>
        <w:keepNext w:val="0"/>
        <w:keepLines w:val="0"/>
        <w:pageBreakBefore w:val="0"/>
        <w:widowControl w:val="0"/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textAlignment w:val="auto"/>
        <w:outlineLvl w:val="9"/>
        <w:rPr>
          <w:rFonts w:hint="eastAsia" w:ascii="楷体_GB2312" w:hAnsi="Tahoma" w:eastAsia="楷体_GB2312" w:cs="Tahom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Tahoma" w:eastAsia="楷体_GB2312" w:cs="Tahoma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楷体_GB2312" w:hAnsi="Tahoma" w:eastAsia="楷体_GB2312" w:cs="Tahoma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政府采购情况</w:t>
      </w:r>
    </w:p>
    <w:p w14:paraId="6F974813">
      <w:pPr>
        <w:keepNext w:val="0"/>
        <w:keepLines w:val="0"/>
        <w:pageBreakBefore w:val="0"/>
        <w:widowControl w:val="0"/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2025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年，区委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宣传部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政府采购预算总额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万元，其中：政府采购货物预算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万元、政府采购工程预算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万元、政府采购服务预算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万元。</w:t>
      </w:r>
    </w:p>
    <w:p w14:paraId="634D225B">
      <w:pPr>
        <w:keepNext w:val="0"/>
        <w:keepLines w:val="0"/>
        <w:pageBreakBefore w:val="0"/>
        <w:widowControl w:val="0"/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textAlignment w:val="auto"/>
        <w:outlineLvl w:val="9"/>
        <w:rPr>
          <w:rFonts w:hint="eastAsia" w:ascii="楷体_GB2312" w:hAnsi="Tahoma" w:eastAsia="楷体_GB2312" w:cs="Tahoma"/>
          <w:color w:val="000000"/>
          <w:sz w:val="32"/>
          <w:szCs w:val="32"/>
          <w:highlight w:val="none"/>
        </w:rPr>
      </w:pPr>
      <w:r>
        <w:rPr>
          <w:rFonts w:hint="eastAsia" w:ascii="楷体_GB2312" w:hAnsi="Tahoma" w:eastAsia="楷体_GB2312" w:cs="Tahoma"/>
          <w:color w:val="000000"/>
          <w:sz w:val="32"/>
          <w:szCs w:val="32"/>
          <w:highlight w:val="none"/>
        </w:rPr>
        <w:t>（三）国有资产占</w:t>
      </w:r>
      <w:r>
        <w:rPr>
          <w:rFonts w:hint="eastAsia" w:ascii="楷体_GB2312" w:hAnsi="Tahoma" w:eastAsia="楷体_GB2312" w:cs="Tahoma"/>
          <w:color w:val="000000"/>
          <w:sz w:val="32"/>
          <w:szCs w:val="32"/>
          <w:highlight w:val="none"/>
          <w:lang w:eastAsia="zh-CN"/>
        </w:rPr>
        <w:t>用</w:t>
      </w:r>
      <w:r>
        <w:rPr>
          <w:rFonts w:hint="eastAsia" w:ascii="楷体_GB2312" w:hAnsi="Tahoma" w:eastAsia="楷体_GB2312" w:cs="Tahoma"/>
          <w:color w:val="000000"/>
          <w:sz w:val="32"/>
          <w:szCs w:val="32"/>
          <w:highlight w:val="none"/>
        </w:rPr>
        <w:t>情况</w:t>
      </w:r>
    </w:p>
    <w:p w14:paraId="50618DEF">
      <w:pPr>
        <w:keepNext w:val="0"/>
        <w:keepLines w:val="0"/>
        <w:pageBreakBefore w:val="0"/>
        <w:widowControl w:val="0"/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截止2024年底，本部门固定资产总额185.428694万元，其中：车辆2台，42.1172万元。</w:t>
      </w:r>
    </w:p>
    <w:p w14:paraId="7F3837F2">
      <w:pPr>
        <w:keepNext w:val="0"/>
        <w:keepLines w:val="0"/>
        <w:pageBreakBefore w:val="0"/>
        <w:widowControl w:val="0"/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textAlignment w:val="auto"/>
        <w:outlineLvl w:val="9"/>
        <w:rPr>
          <w:rFonts w:hint="eastAsia" w:ascii="楷体_GB2312" w:hAnsi="Tahoma" w:eastAsia="楷体_GB2312" w:cs="Tahoma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楷体_GB2312" w:hAnsi="Tahoma" w:eastAsia="楷体_GB2312" w:cs="Tahoma"/>
          <w:color w:val="000000"/>
          <w:sz w:val="32"/>
          <w:szCs w:val="32"/>
          <w:highlight w:val="none"/>
          <w:lang w:eastAsia="zh-CN"/>
        </w:rPr>
        <w:t>（四）重点项目预算的绩效目标和绩效评价结果的情况</w:t>
      </w:r>
    </w:p>
    <w:p w14:paraId="08CAB61E">
      <w:pPr>
        <w:keepNext w:val="0"/>
        <w:keepLines w:val="0"/>
        <w:pageBreakBefore w:val="0"/>
        <w:widowControl w:val="0"/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2025年，填报绩效目标的预算项目30个，占全部预算项目30个的100%。填报绩效目标的项目支出预算1775.481066万元，占全部项目支出预算的100%。具体内容详见绩效目标表。</w:t>
      </w:r>
    </w:p>
    <w:p w14:paraId="06B52010">
      <w:pPr>
        <w:keepNext w:val="0"/>
        <w:keepLines w:val="0"/>
        <w:pageBreakBefore w:val="0"/>
        <w:widowControl w:val="0"/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ahoma" w:eastAsia="仿宋_GB2312" w:cs="Tahom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区委宣传部纳入事前项目评估0个，涉及一般公共预算拨款0万元、政府性基金预算0万元。</w:t>
      </w:r>
    </w:p>
    <w:p w14:paraId="5AAF0C3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outlineLvl w:val="9"/>
        <w:rPr>
          <w:rFonts w:hint="eastAsia" w:ascii="楷体_GB2312" w:hAnsi="Tahoma" w:eastAsia="楷体_GB2312" w:cs="Tahoma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楷体_GB2312" w:hAnsi="Tahoma" w:eastAsia="楷体_GB2312" w:cs="Tahoma"/>
          <w:color w:val="000000"/>
          <w:sz w:val="32"/>
          <w:szCs w:val="32"/>
          <w:highlight w:val="none"/>
          <w:lang w:eastAsia="zh-CN"/>
        </w:rPr>
        <w:t>（五）重点行政事业性收费情况说明</w:t>
      </w:r>
    </w:p>
    <w:p w14:paraId="1506D56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本部门无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重点行政事业性收费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情况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 w14:paraId="22068D45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outlineLvl w:val="9"/>
        <w:rPr>
          <w:rFonts w:hint="eastAsia" w:ascii="楷体_GB2312" w:hAnsi="Tahoma" w:eastAsia="楷体_GB2312" w:cs="Tahoma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楷体_GB2312" w:hAnsi="Tahoma" w:eastAsia="楷体_GB2312" w:cs="Tahoma"/>
          <w:color w:val="000000"/>
          <w:sz w:val="32"/>
          <w:szCs w:val="32"/>
          <w:highlight w:val="none"/>
          <w:lang w:eastAsia="zh-CN"/>
        </w:rPr>
        <w:t>（六）</w:t>
      </w:r>
      <w:r>
        <w:rPr>
          <w:rFonts w:hint="eastAsia" w:ascii="楷体_GB2312" w:hAnsi="Tahoma" w:eastAsia="楷体_GB2312" w:cs="Tahoma"/>
          <w:color w:val="000000"/>
          <w:sz w:val="32"/>
          <w:szCs w:val="32"/>
          <w:highlight w:val="none"/>
        </w:rPr>
        <w:t>政府</w:t>
      </w:r>
      <w:r>
        <w:rPr>
          <w:rFonts w:hint="eastAsia" w:ascii="楷体_GB2312" w:hAnsi="Tahoma" w:eastAsia="楷体_GB2312" w:cs="Tahoma"/>
          <w:color w:val="000000"/>
          <w:sz w:val="32"/>
          <w:szCs w:val="32"/>
          <w:highlight w:val="none"/>
          <w:lang w:eastAsia="zh-CN"/>
        </w:rPr>
        <w:t>购买服务预算说明</w:t>
      </w:r>
    </w:p>
    <w:p w14:paraId="07AE439C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outlineLvl w:val="9"/>
        <w:rPr>
          <w:rFonts w:hint="eastAsia" w:ascii="仿宋_GB2312" w:hAnsi="Tahoma" w:eastAsia="仿宋_GB2312" w:cs="Tahoma"/>
          <w:color w:val="000000"/>
          <w:sz w:val="32"/>
          <w:szCs w:val="32"/>
          <w:highlight w:val="none"/>
        </w:rPr>
      </w:pPr>
      <w:r>
        <w:rPr>
          <w:rFonts w:hint="eastAsia" w:ascii="楷体_GB2312" w:hAnsi="Tahoma" w:eastAsia="楷体_GB2312" w:cs="Tahoma"/>
          <w:color w:val="00000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Tahoma" w:eastAsia="仿宋_GB2312" w:cs="Tahoma"/>
          <w:color w:val="000000"/>
          <w:sz w:val="32"/>
          <w:szCs w:val="32"/>
          <w:highlight w:val="none"/>
        </w:rPr>
        <w:t>年政府购买服务项目共计</w:t>
      </w:r>
      <w:r>
        <w:rPr>
          <w:rFonts w:hint="eastAsia" w:ascii="仿宋_GB2312" w:hAnsi="Tahoma" w:eastAsia="仿宋_GB2312" w:cs="Tahoma"/>
          <w:color w:val="00000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Tahoma" w:eastAsia="仿宋_GB2312" w:cs="Tahoma"/>
          <w:color w:val="000000"/>
          <w:sz w:val="32"/>
          <w:szCs w:val="32"/>
          <w:highlight w:val="none"/>
        </w:rPr>
        <w:t>项，预算总金额</w:t>
      </w:r>
      <w:r>
        <w:rPr>
          <w:rFonts w:hint="eastAsia" w:ascii="仿宋_GB2312" w:hAnsi="Tahoma" w:eastAsia="仿宋_GB2312" w:cs="Tahoma"/>
          <w:color w:val="00000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Tahoma" w:eastAsia="仿宋_GB2312" w:cs="Tahoma"/>
          <w:color w:val="000000"/>
          <w:sz w:val="32"/>
          <w:szCs w:val="32"/>
          <w:highlight w:val="none"/>
        </w:rPr>
        <w:t>万元。</w:t>
      </w:r>
    </w:p>
    <w:p w14:paraId="75E4962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outlineLvl w:val="9"/>
        <w:rPr>
          <w:rFonts w:hint="eastAsia" w:ascii="楷体_GB2312" w:hAnsi="Tahoma" w:eastAsia="楷体_GB2312" w:cs="Tahoma"/>
          <w:color w:val="000000"/>
          <w:sz w:val="32"/>
          <w:szCs w:val="32"/>
          <w:highlight w:val="none"/>
        </w:rPr>
      </w:pPr>
      <w:r>
        <w:rPr>
          <w:rFonts w:hint="eastAsia" w:ascii="楷体_GB2312" w:hAnsi="Tahoma" w:eastAsia="楷体_GB2312" w:cs="Tahoma"/>
          <w:color w:val="000000"/>
          <w:sz w:val="32"/>
          <w:szCs w:val="32"/>
          <w:highlight w:val="none"/>
          <w:lang w:eastAsia="zh-CN"/>
        </w:rPr>
        <w:t>（七）</w:t>
      </w:r>
      <w:r>
        <w:rPr>
          <w:rFonts w:hint="eastAsia" w:ascii="楷体_GB2312" w:hAnsi="Tahoma" w:eastAsia="楷体_GB2312" w:cs="Tahoma"/>
          <w:color w:val="000000"/>
          <w:sz w:val="32"/>
          <w:szCs w:val="32"/>
          <w:highlight w:val="none"/>
        </w:rPr>
        <w:t>国有资本经营预算财政拨款情况说明</w:t>
      </w:r>
    </w:p>
    <w:p w14:paraId="09679050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本部门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2025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年无国有资本经营预算财政拨款安排的预算。</w:t>
      </w:r>
    </w:p>
    <w:p w14:paraId="008FC56A">
      <w:pPr>
        <w:keepNext w:val="0"/>
        <w:keepLines w:val="0"/>
        <w:pageBreakBefore w:val="0"/>
        <w:widowControl w:val="0"/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textAlignment w:val="auto"/>
        <w:outlineLvl w:val="9"/>
        <w:rPr>
          <w:rFonts w:hint="eastAsia" w:ascii="黑体" w:hAnsi="文星标宋" w:eastAsia="黑体" w:cs="Tahoma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文星标宋" w:eastAsia="黑体" w:cs="Tahoma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十三、名词解释</w:t>
      </w:r>
    </w:p>
    <w:p w14:paraId="0FB66BF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outlineLvl w:val="9"/>
        <w:rPr>
          <w:rFonts w:hint="eastAsia" w:ascii="仿宋_GB2312" w:hAnsi="Tahoma" w:eastAsia="仿宋_GB2312" w:cs="Tahoma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“三公”经费：指本部门当年部门预算安排的因公出国（境）费用、公务接待费、公务用车购置和运行维护费。机关运行经费：指为保障行政单位（含参照公务员法管理事业单位）运行用于购买货物和服务的各项资金，包括办公及印刷费、邮电费、差旅费、会议费、福利费、日常维修费、专用材料及一般设备购置费、办公用房水电费、办公用房取暖费、办公用房物业管理费、公务用车运行维护费以及其他费用。</w:t>
      </w:r>
    </w:p>
    <w:p w14:paraId="2745972C"/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文星标宋"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A89D2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3461EC"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93461EC"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2F15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38566A"/>
    <w:multiLevelType w:val="singleLevel"/>
    <w:tmpl w:val="C138566A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938208F"/>
    <w:multiLevelType w:val="singleLevel"/>
    <w:tmpl w:val="6938208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mMWYyYzUwOWY3NTMxZjE0Y2QzMWY3YTI3YjFjMjAifQ=="/>
  </w:docVars>
  <w:rsids>
    <w:rsidRoot w:val="0292179E"/>
    <w:rsid w:val="01610122"/>
    <w:rsid w:val="0292179E"/>
    <w:rsid w:val="02AD675B"/>
    <w:rsid w:val="02C32E43"/>
    <w:rsid w:val="02F62AAB"/>
    <w:rsid w:val="0314414F"/>
    <w:rsid w:val="03942A31"/>
    <w:rsid w:val="03A34D57"/>
    <w:rsid w:val="04C11604"/>
    <w:rsid w:val="055B01DA"/>
    <w:rsid w:val="055C757F"/>
    <w:rsid w:val="077D6ACD"/>
    <w:rsid w:val="079527E5"/>
    <w:rsid w:val="07E150EC"/>
    <w:rsid w:val="08386081"/>
    <w:rsid w:val="08A454C4"/>
    <w:rsid w:val="090D074B"/>
    <w:rsid w:val="09977B3A"/>
    <w:rsid w:val="09E46986"/>
    <w:rsid w:val="0CDA66F1"/>
    <w:rsid w:val="0D2C7836"/>
    <w:rsid w:val="0D3E4274"/>
    <w:rsid w:val="0D6D15A5"/>
    <w:rsid w:val="0DB90F8D"/>
    <w:rsid w:val="0E15651D"/>
    <w:rsid w:val="0EB3624C"/>
    <w:rsid w:val="0F0861A4"/>
    <w:rsid w:val="0F1E2C20"/>
    <w:rsid w:val="0FD61CDB"/>
    <w:rsid w:val="101F5F1B"/>
    <w:rsid w:val="10A26449"/>
    <w:rsid w:val="11827F8E"/>
    <w:rsid w:val="118F1102"/>
    <w:rsid w:val="1241348A"/>
    <w:rsid w:val="13426006"/>
    <w:rsid w:val="135B70C7"/>
    <w:rsid w:val="13E56991"/>
    <w:rsid w:val="140D0BA5"/>
    <w:rsid w:val="15767CF4"/>
    <w:rsid w:val="15BB7627"/>
    <w:rsid w:val="15EC1C28"/>
    <w:rsid w:val="1620393A"/>
    <w:rsid w:val="17392607"/>
    <w:rsid w:val="17784CA5"/>
    <w:rsid w:val="17C0064A"/>
    <w:rsid w:val="189B3AC2"/>
    <w:rsid w:val="18E611E1"/>
    <w:rsid w:val="1998710C"/>
    <w:rsid w:val="1A277D03"/>
    <w:rsid w:val="1A9B13D7"/>
    <w:rsid w:val="1A9D2764"/>
    <w:rsid w:val="1AE328B5"/>
    <w:rsid w:val="1AFBD4E2"/>
    <w:rsid w:val="1B6157D4"/>
    <w:rsid w:val="1B7B38AC"/>
    <w:rsid w:val="1C5D62F4"/>
    <w:rsid w:val="1C67718A"/>
    <w:rsid w:val="1CC17F9B"/>
    <w:rsid w:val="1CE4012E"/>
    <w:rsid w:val="1DB3193E"/>
    <w:rsid w:val="1DBE19E3"/>
    <w:rsid w:val="1EAF02C7"/>
    <w:rsid w:val="1EFD0618"/>
    <w:rsid w:val="1FA53BA4"/>
    <w:rsid w:val="20076707"/>
    <w:rsid w:val="20523600"/>
    <w:rsid w:val="20672C08"/>
    <w:rsid w:val="20765966"/>
    <w:rsid w:val="20CF69FF"/>
    <w:rsid w:val="20EB21E9"/>
    <w:rsid w:val="21116909"/>
    <w:rsid w:val="211741CC"/>
    <w:rsid w:val="218E3298"/>
    <w:rsid w:val="23C83A19"/>
    <w:rsid w:val="242F7EE0"/>
    <w:rsid w:val="2434162D"/>
    <w:rsid w:val="249D12EE"/>
    <w:rsid w:val="24AE3CD0"/>
    <w:rsid w:val="26760048"/>
    <w:rsid w:val="27E2418C"/>
    <w:rsid w:val="282E265E"/>
    <w:rsid w:val="29384191"/>
    <w:rsid w:val="298F1E4D"/>
    <w:rsid w:val="2A3873C3"/>
    <w:rsid w:val="2A8D2054"/>
    <w:rsid w:val="2C376275"/>
    <w:rsid w:val="2CF33BF6"/>
    <w:rsid w:val="2D226522"/>
    <w:rsid w:val="2D7A38F1"/>
    <w:rsid w:val="2D9F3FFE"/>
    <w:rsid w:val="2DC35970"/>
    <w:rsid w:val="2DD218DC"/>
    <w:rsid w:val="2E053BE8"/>
    <w:rsid w:val="2E52587D"/>
    <w:rsid w:val="317E15FD"/>
    <w:rsid w:val="32073545"/>
    <w:rsid w:val="32085615"/>
    <w:rsid w:val="322A1C9E"/>
    <w:rsid w:val="325A081E"/>
    <w:rsid w:val="327A4DC2"/>
    <w:rsid w:val="33EB6F0B"/>
    <w:rsid w:val="341A7B9B"/>
    <w:rsid w:val="341E3ACD"/>
    <w:rsid w:val="35305C4B"/>
    <w:rsid w:val="35463763"/>
    <w:rsid w:val="35901231"/>
    <w:rsid w:val="35C16E06"/>
    <w:rsid w:val="35E94A02"/>
    <w:rsid w:val="35EB3E83"/>
    <w:rsid w:val="36167FEB"/>
    <w:rsid w:val="36425BEF"/>
    <w:rsid w:val="37D01583"/>
    <w:rsid w:val="38907D45"/>
    <w:rsid w:val="38A65E3F"/>
    <w:rsid w:val="39616936"/>
    <w:rsid w:val="3AD35612"/>
    <w:rsid w:val="3C0E2679"/>
    <w:rsid w:val="3CE07B72"/>
    <w:rsid w:val="3D124034"/>
    <w:rsid w:val="3D424389"/>
    <w:rsid w:val="3D9C54F0"/>
    <w:rsid w:val="3DD22848"/>
    <w:rsid w:val="3E685F25"/>
    <w:rsid w:val="3EEB5633"/>
    <w:rsid w:val="403703F1"/>
    <w:rsid w:val="40624D42"/>
    <w:rsid w:val="40923879"/>
    <w:rsid w:val="40D304EF"/>
    <w:rsid w:val="40F338F8"/>
    <w:rsid w:val="41470B86"/>
    <w:rsid w:val="4172500C"/>
    <w:rsid w:val="42F06941"/>
    <w:rsid w:val="431C38CE"/>
    <w:rsid w:val="43465A4C"/>
    <w:rsid w:val="445666B6"/>
    <w:rsid w:val="44913E48"/>
    <w:rsid w:val="453E5D7D"/>
    <w:rsid w:val="456F5FC3"/>
    <w:rsid w:val="45C73FC5"/>
    <w:rsid w:val="467D3773"/>
    <w:rsid w:val="467D4684"/>
    <w:rsid w:val="468E65EC"/>
    <w:rsid w:val="46DD2912"/>
    <w:rsid w:val="47136D96"/>
    <w:rsid w:val="477A0BC3"/>
    <w:rsid w:val="49FC03CA"/>
    <w:rsid w:val="4A44452F"/>
    <w:rsid w:val="4B95246F"/>
    <w:rsid w:val="4C2029C1"/>
    <w:rsid w:val="4CB66B41"/>
    <w:rsid w:val="4CCF19B1"/>
    <w:rsid w:val="4D2C273C"/>
    <w:rsid w:val="4DD23507"/>
    <w:rsid w:val="4E703048"/>
    <w:rsid w:val="4F0D1913"/>
    <w:rsid w:val="4F553BDF"/>
    <w:rsid w:val="4F7D54A6"/>
    <w:rsid w:val="51CC3D34"/>
    <w:rsid w:val="524349D3"/>
    <w:rsid w:val="524F15CA"/>
    <w:rsid w:val="52C92E8D"/>
    <w:rsid w:val="52FF2BF1"/>
    <w:rsid w:val="5495703C"/>
    <w:rsid w:val="549D0DD4"/>
    <w:rsid w:val="55C67DF5"/>
    <w:rsid w:val="561B661D"/>
    <w:rsid w:val="569A3030"/>
    <w:rsid w:val="571A78DF"/>
    <w:rsid w:val="57346FE0"/>
    <w:rsid w:val="57603931"/>
    <w:rsid w:val="57FD47CF"/>
    <w:rsid w:val="58D41BB2"/>
    <w:rsid w:val="59785566"/>
    <w:rsid w:val="599B3490"/>
    <w:rsid w:val="59F6057D"/>
    <w:rsid w:val="59F86512"/>
    <w:rsid w:val="5B1D5F4A"/>
    <w:rsid w:val="5B593729"/>
    <w:rsid w:val="5C49708A"/>
    <w:rsid w:val="5CA00C74"/>
    <w:rsid w:val="5CAB1AF3"/>
    <w:rsid w:val="5CCCF64F"/>
    <w:rsid w:val="5CD66444"/>
    <w:rsid w:val="5D000AB2"/>
    <w:rsid w:val="5D3D2F79"/>
    <w:rsid w:val="5DDC603F"/>
    <w:rsid w:val="5E156F05"/>
    <w:rsid w:val="5E620215"/>
    <w:rsid w:val="5EAF5F88"/>
    <w:rsid w:val="5EAF7BB7"/>
    <w:rsid w:val="5ED32A4F"/>
    <w:rsid w:val="60061C9F"/>
    <w:rsid w:val="60202F99"/>
    <w:rsid w:val="60745363"/>
    <w:rsid w:val="61C07EFE"/>
    <w:rsid w:val="622E7884"/>
    <w:rsid w:val="627B00D1"/>
    <w:rsid w:val="62AC2121"/>
    <w:rsid w:val="62F13FD7"/>
    <w:rsid w:val="63C65F77"/>
    <w:rsid w:val="64F435BA"/>
    <w:rsid w:val="654F7F9F"/>
    <w:rsid w:val="657D3037"/>
    <w:rsid w:val="66104CAF"/>
    <w:rsid w:val="661701F9"/>
    <w:rsid w:val="66295F3D"/>
    <w:rsid w:val="67A1501C"/>
    <w:rsid w:val="67DD7652"/>
    <w:rsid w:val="68FD3080"/>
    <w:rsid w:val="691321F2"/>
    <w:rsid w:val="69152A61"/>
    <w:rsid w:val="69274AB2"/>
    <w:rsid w:val="69735BB2"/>
    <w:rsid w:val="6A0D6879"/>
    <w:rsid w:val="6A645D75"/>
    <w:rsid w:val="6A990196"/>
    <w:rsid w:val="6AA14535"/>
    <w:rsid w:val="6B652D6D"/>
    <w:rsid w:val="6CB42573"/>
    <w:rsid w:val="6D1F1741"/>
    <w:rsid w:val="6D6F4066"/>
    <w:rsid w:val="6DB57510"/>
    <w:rsid w:val="6E6F0BCB"/>
    <w:rsid w:val="6E8B38C9"/>
    <w:rsid w:val="6E981DEB"/>
    <w:rsid w:val="6EE73BA4"/>
    <w:rsid w:val="6F140676"/>
    <w:rsid w:val="6FB7CC1D"/>
    <w:rsid w:val="6FD13BC7"/>
    <w:rsid w:val="70F5554A"/>
    <w:rsid w:val="71347EB1"/>
    <w:rsid w:val="723A2BE4"/>
    <w:rsid w:val="735A41B1"/>
    <w:rsid w:val="73691968"/>
    <w:rsid w:val="73FC0A2E"/>
    <w:rsid w:val="74A72014"/>
    <w:rsid w:val="74E46F7D"/>
    <w:rsid w:val="753D4E5A"/>
    <w:rsid w:val="757D0CD6"/>
    <w:rsid w:val="7593630C"/>
    <w:rsid w:val="766E2ED7"/>
    <w:rsid w:val="772E0FAC"/>
    <w:rsid w:val="778178C7"/>
    <w:rsid w:val="779D3CFD"/>
    <w:rsid w:val="780729DB"/>
    <w:rsid w:val="7956473D"/>
    <w:rsid w:val="7A1964FF"/>
    <w:rsid w:val="7A236D15"/>
    <w:rsid w:val="7A2F5DCE"/>
    <w:rsid w:val="7B0D7422"/>
    <w:rsid w:val="7C51386C"/>
    <w:rsid w:val="7CD42548"/>
    <w:rsid w:val="7CEBF2DF"/>
    <w:rsid w:val="7D860485"/>
    <w:rsid w:val="7DB55A23"/>
    <w:rsid w:val="7E8730D2"/>
    <w:rsid w:val="7EC20188"/>
    <w:rsid w:val="7ECB797B"/>
    <w:rsid w:val="7F6FB22D"/>
    <w:rsid w:val="7FBB1AF8"/>
    <w:rsid w:val="7FF778E7"/>
    <w:rsid w:val="D3FFB4D8"/>
    <w:rsid w:val="D95D19BD"/>
    <w:rsid w:val="DFDD7ED8"/>
    <w:rsid w:val="EEFF62AC"/>
    <w:rsid w:val="EFFB546B"/>
    <w:rsid w:val="F2FF39DB"/>
    <w:rsid w:val="F7F7014C"/>
    <w:rsid w:val="FBFB4A83"/>
    <w:rsid w:val="FDFF8A47"/>
    <w:rsid w:val="FF66F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4028</Words>
  <Characters>5701</Characters>
  <Lines>0</Lines>
  <Paragraphs>0</Paragraphs>
  <TotalTime>17</TotalTime>
  <ScaleCrop>false</ScaleCrop>
  <LinksUpToDate>false</LinksUpToDate>
  <CharactersWithSpaces>5705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2023-02-03T13:34:00Z</dcterms:created>
  <dc:creator>XCB</dc:creator>
  <cp:lastModifiedBy>SYSTEM</cp:lastModifiedBy>
  <cp:lastPrinted>2024-12-19T09:23:00Z</cp:lastPrinted>
  <dcterms:modified xsi:type="dcterms:W3CDTF">2025-03-06T07:45:53Z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978D5A63532D7137BD49B7653F551BFC</vt:lpwstr>
  </property>
  <property fmtid="{D5CDD505-2E9C-101B-9397-08002B2CF9AE}" pid="4" name="KSOTemplateDocerSaveRecord">
    <vt:lpwstr>eyJoZGlkIjoiN2ZmMWYyYzUwOWY3NTMxZjE0Y2QzMWY3YTI3YjFjMjAifQ==</vt:lpwstr>
  </property>
</Properties>
</file>