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庞各庄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</w:t>
      </w:r>
      <w:r>
        <w:rPr>
          <w:rFonts w:hint="default" w:ascii="方正小标宋简体" w:hAnsi="文星标宋" w:eastAsia="方正小标宋简体" w:cs="Tahoma"/>
          <w:color w:val="000000"/>
          <w:sz w:val="44"/>
          <w:szCs w:val="44"/>
          <w:lang w:val="en" w:eastAsia="zh-CN"/>
        </w:rPr>
        <w:t>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11516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完成调整预算数的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60%，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主要是北京中海兴达房地产开发有限公司土地增值税退税9341万元，影响镇级财政收入</w:t>
      </w:r>
      <w:r>
        <w:rPr>
          <w:rFonts w:hint="eastAsia" w:ascii="仿宋_GB2312" w:eastAsia="仿宋_GB2312"/>
          <w:color w:val="auto"/>
          <w:spacing w:val="0"/>
          <w:sz w:val="32"/>
          <w:szCs w:val="32"/>
          <w:lang w:val="en-US" w:eastAsia="zh-CN"/>
        </w:rPr>
        <w:t>-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2335万元。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4999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5950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84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1239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113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88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3959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4330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74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" w:firstLineChars="15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土地增值</w:t>
      </w:r>
      <w:r>
        <w:rPr>
          <w:rFonts w:hint="eastAsia" w:ascii="仿宋_GB2312" w:hAnsi="宋体" w:eastAsia="仿宋_GB2312" w:cs="宋体"/>
          <w:sz w:val="32"/>
          <w:szCs w:val="32"/>
        </w:rPr>
        <w:t>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-962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5133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-119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63229.2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default" w:ascii="仿宋_GB2312" w:hAnsi="宋体" w:eastAsia="仿宋_GB2312" w:cs="宋体"/>
          <w:sz w:val="32"/>
          <w:szCs w:val="32"/>
          <w:lang w:val="en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57195.57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6033.64 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主要增减变化原因有：镇本级一般公共预算支出为调整预算的</w:t>
      </w:r>
      <w:r>
        <w:rPr>
          <w:rFonts w:hint="default" w:ascii="仿宋_GB2312" w:hAnsi="宋体" w:eastAsia="仿宋_GB2312" w:cs="宋体"/>
          <w:sz w:val="32"/>
          <w:szCs w:val="32"/>
          <w:lang w:val="en" w:eastAsia="zh-CN"/>
        </w:rPr>
        <w:t>81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%，支出较调整预算有所减少的原因是部分专项转移支付因未完工，资金结转至2025年支付；上解支出为调整预算的</w:t>
      </w:r>
      <w:r>
        <w:rPr>
          <w:rFonts w:hint="default" w:ascii="仿宋_GB2312" w:hAnsi="宋体" w:eastAsia="仿宋_GB2312" w:cs="宋体"/>
          <w:sz w:val="32"/>
          <w:szCs w:val="32"/>
          <w:lang w:val="en" w:eastAsia="zh-CN"/>
        </w:rPr>
        <w:t>118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%，主要是按照区财政局测算，上解支出增加。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70" w:line="560" w:lineRule="exact"/>
        <w:ind w:left="25" w:right="13" w:firstLine="654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57195.57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80.89</w:t>
      </w:r>
      <w:r>
        <w:rPr>
          <w:rFonts w:hint="eastAsia" w:ascii="仿宋_GB2312" w:hAnsi="宋体" w:eastAsia="仿宋_GB2312" w:cs="宋体"/>
          <w:sz w:val="32"/>
          <w:szCs w:val="32"/>
        </w:rPr>
        <w:t>%，支出较调整预算有所减少的原因是部分专项转移支付因未完工，资金结转至2025年支付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一般公共服务支出9837.91 万元，完成调整预算的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101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%。主要用于在职在编人员工资及公用经费，社区村党组织服务群众经费，政府保安、保洁、物业等项目支出。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国防支出34.98万元，完成调整预算的10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%。主要用于义务兵优待金、训练经费。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公共安全支出27.61万元，完成调整预算的138%。主要用于司法项目经费。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文化旅游体育与传媒支出230.04万元，完成调整预算的11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%。主要用于文体转移支付经费、三节一赛、旅游公共服务设施等项目。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社会保障和就业支出6277.03万元，完成调整预算的92%。主要用于在职在编人员社会保障缴费、民政经费、社保经费等项目。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卫生健康支出5404.13万元，完成调整预算的94%。主要用于卫生院在职在编人员工资经费、卫生项目经费、基本公共卫生经费、计划生育资金经费等项目。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节能环保支出2486.22 万元，完成调整预算的110%。主要用于庞各庄镇大气精细化治理，2023-2024年取暖季“煤改电”长效管护、蓄能电暖器用户电费补贴等项目。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城乡社区支出8932.87万元，完成调整预算的52%。主要用于农村地区保洁员工资、疏解整治促提升、农村公厕运维等项目。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农林水支出22583.42万元，完成调整预算的81%。主要用于农村公益事业金经费、大兴区老北京水果示范基地建设项目、西瓜商品苗成本补贴、设施蔬菜产业集群、北京市设施农业以奖代补等项目。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自然资源海洋气象等支出383.06万元，完成调整预算的100%。主要用于大兴区房地一体的宅基地、集体建设用地权籍调查和确权登记。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住房保障支出56.06万元，完成调整预算的113%。主要用于庞各庄镇老旧小区综合整治等项目。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灾害防治及应急管理支出942.24万元，完成调整预算的38倍。主要用于安全消防经费等项目。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年一般公共预算基本支出决算表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大兴区庞各庄镇2024年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决算数为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11446.18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具体包括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6956.98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513.5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对事业单位经常性补助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3600.82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对个人和家庭的补助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374.88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年一般公共预算“三公经费”财政拨款支出决算表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年因公出国（境）费用、公务接待费、公务用车费3项费用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21.56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较调整预算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86万元，减少64.44万元，减少74.93%，</w:t>
      </w:r>
      <w:r>
        <w:rPr>
          <w:rFonts w:hint="eastAsia" w:ascii="仿宋_GB2312" w:hAnsi="宋体" w:eastAsia="仿宋_GB2312" w:cs="宋体"/>
          <w:sz w:val="32"/>
          <w:szCs w:val="32"/>
        </w:rPr>
        <w:t>主要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是贯彻落实公务用车使用管理有关规定和过“紧日子”思想，实现厉行节约常态化。其中：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（一）因公出国（境）费用：2024年</w:t>
      </w:r>
      <w:r>
        <w:rPr>
          <w:rFonts w:hint="eastAsia" w:ascii="仿宋_GB2312" w:hAnsi="宋体" w:eastAsia="仿宋_GB2312" w:cs="宋体"/>
          <w:sz w:val="32"/>
          <w:szCs w:val="32"/>
        </w:rPr>
        <w:t>决算数0万元，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年未安排预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算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，无增减变化。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（二）公务接待费：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（三）公务用车费（含公务用车运行维护费用支出、公务用车购置费用支出）：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21.56</w:t>
      </w:r>
      <w:r>
        <w:rPr>
          <w:rFonts w:hint="eastAsia" w:ascii="仿宋_GB2312" w:hAnsi="宋体" w:eastAsia="仿宋_GB2312" w:cs="宋体"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公务用车运行维护费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21.56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比年初预算数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82.5</w:t>
      </w:r>
      <w:r>
        <w:rPr>
          <w:rFonts w:hint="eastAsia" w:ascii="仿宋_GB2312" w:hAnsi="宋体" w:eastAsia="仿宋_GB2312" w:cs="宋体"/>
          <w:sz w:val="32"/>
          <w:szCs w:val="32"/>
        </w:rPr>
        <w:t>万元减少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60.94</w:t>
      </w:r>
      <w:r>
        <w:rPr>
          <w:rFonts w:hint="eastAsia" w:ascii="仿宋_GB2312" w:hAnsi="宋体" w:eastAsia="仿宋_GB2312" w:cs="宋体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73.87</w:t>
      </w:r>
      <w:r>
        <w:rPr>
          <w:rFonts w:hint="eastAsia" w:ascii="仿宋_GB2312" w:hAnsi="宋体" w:eastAsia="仿宋_GB2312" w:cs="宋体"/>
          <w:sz w:val="32"/>
          <w:szCs w:val="32"/>
        </w:rPr>
        <w:t>%。主要原因为贯彻落实公务用车使用管理有关规定和过“紧日子”思想，实现厉行节约常态化。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公务用车购置决算数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年未安排预算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，无增减变化。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年政府性基金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sz w:val="32"/>
          <w:szCs w:val="32"/>
        </w:rPr>
        <w:t>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12785.64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1.95倍</w:t>
      </w:r>
      <w:r>
        <w:rPr>
          <w:rFonts w:hint="eastAsia" w:ascii="仿宋_GB2312" w:hAnsi="宋体" w:eastAsia="仿宋_GB2312" w:cs="宋体"/>
          <w:sz w:val="32"/>
          <w:szCs w:val="32"/>
        </w:rPr>
        <w:t>，支出较调整预算变动的原因主要是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上级专项转移支付增加；上解支出较年初无变化。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大兴区庞各庄镇2024年政府性基金预算支出决算数为12785.64万元，为调整预算数的1.95倍，支出较调整预算变动的原因主要是上级专项转移支付增加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。其中：</w:t>
      </w: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12784.53</w:t>
      </w:r>
      <w:r>
        <w:rPr>
          <w:rFonts w:hint="eastAsia" w:ascii="仿宋_GB2312" w:hAnsi="宋体" w:eastAsia="仿宋_GB2312" w:cs="宋体"/>
          <w:sz w:val="32"/>
          <w:szCs w:val="32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1.95倍</w:t>
      </w:r>
      <w:r>
        <w:rPr>
          <w:rFonts w:hint="eastAsia" w:ascii="仿宋_GB2312" w:hAnsi="宋体" w:eastAsia="仿宋_GB2312" w:cs="宋体"/>
          <w:sz w:val="32"/>
          <w:szCs w:val="32"/>
        </w:rPr>
        <w:t>，主要是上级专项转移支付增加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；资源勘探工业信息等支出2024年决算数为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1.11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,2024年调整预算数为0,主要是上级专项转移支付增加。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年国有资本经营预算收入决算表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年社会保险基金预算收入决算表》的说明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年社会保险基金预算支出决算表》的说明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年一般公共预算税收返还和转移支付表》的说明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年政府性基金转移支付表》的说明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25" w:leftChars="2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年专项转移支付执行情况表》的说明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2024年大兴区庞各庄镇专项转移支付支出38982.63万元，其中一般公共预算支出26953.76万元，政府性基金预算支出10565.64万元。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在一般公共预算专项转移支付支出中，主要支出科目如下：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一般公共服务支出622.66万元；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文化旅游体育与传媒支出0.5万元；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社会保障和就业支出1555.06万元；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卫生健康支出1087.17万元；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节能环保支出2071.42万元；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城乡社区支出2425.32万元；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农林水支出17839.58万元；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自然资源海洋气象等支出383.06万元；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住房保障支出45.46万元；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z w:val="32"/>
          <w:szCs w:val="32"/>
          <w:lang w:val="en-US" w:eastAsia="zh-CN"/>
        </w:rPr>
        <w:t>灾害防治及应急管理支出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923.52万元。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在政府性基金预算专项转移支付中，主要支出科目如下：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城乡社区支出10564.53万元；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资源勘探工业信息等支出1.11万元。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年地方政府债务限额及余额决算情况表》的说明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年地方政府一般债务余额情况表》的说明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年地方政府专项债务余额情况表》的说明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年新增地方政府债券使用情况表》的说明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年地方政府债务发行及还本付息情况表》的说明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年政府采购情况表》的说明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庞各庄镇2024年政府采购支出21599.89万元，其中：货物支出606.53万元，工程支出720.13万元，服务支出20273.23万元；授予中小企业合同金额21100.51万元，其中：授予小微企业合同金额17424.84万元。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《大兴区庞各庄镇2024年政府购买服务支出情况表》的说明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庞各庄镇2024年政府购买服务支出305.52万元，其中：公共服务159.59万元，政府履职辅助性服务145.93万元。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4年我镇认真落实各级部门决策部署，不断加强财政资源统筹，提高财政支出精确性、有效性，同时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积极探索、持续深耕，推动绩效管理向“务实、高效、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节约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”纵深推进，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实现所有预算项目绩效目标、绩效自评全覆盖；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从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预算投入、成本构成、产出规模与质量等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方面入手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，选取所有服务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类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项目开展成本绩效分析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两端作为抓手，并把分析结果作为今后安排预算的重要依据，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促进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财政资金使用效益不断提高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。</w:t>
      </w:r>
    </w:p>
    <w:p>
      <w:pPr>
        <w:numPr>
          <w:ilvl w:val="0"/>
          <w:numId w:val="0"/>
        </w:numPr>
        <w:spacing w:line="560" w:lineRule="exact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文星标宋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B3179"/>
    <w:multiLevelType w:val="singleLevel"/>
    <w:tmpl w:val="DE3B3179"/>
    <w:lvl w:ilvl="0" w:tentative="0">
      <w:start w:val="1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004622E6"/>
    <w:rsid w:val="003F6819"/>
    <w:rsid w:val="004622E6"/>
    <w:rsid w:val="00604A03"/>
    <w:rsid w:val="00625E69"/>
    <w:rsid w:val="00723D69"/>
    <w:rsid w:val="00771FE6"/>
    <w:rsid w:val="009D3D6E"/>
    <w:rsid w:val="00B00A68"/>
    <w:rsid w:val="00B304C3"/>
    <w:rsid w:val="00BD536F"/>
    <w:rsid w:val="018D5F67"/>
    <w:rsid w:val="064D0B7E"/>
    <w:rsid w:val="09C6634E"/>
    <w:rsid w:val="0A5B1BB2"/>
    <w:rsid w:val="0C7A1250"/>
    <w:rsid w:val="0ED00973"/>
    <w:rsid w:val="0ED71AC8"/>
    <w:rsid w:val="10214FAB"/>
    <w:rsid w:val="11E03588"/>
    <w:rsid w:val="14D93D23"/>
    <w:rsid w:val="167E6BDE"/>
    <w:rsid w:val="182C2A78"/>
    <w:rsid w:val="280E0D23"/>
    <w:rsid w:val="28FE4ABC"/>
    <w:rsid w:val="297E2A9F"/>
    <w:rsid w:val="2A4915C1"/>
    <w:rsid w:val="2F43620C"/>
    <w:rsid w:val="2FB77CD1"/>
    <w:rsid w:val="2FC56F08"/>
    <w:rsid w:val="311144DB"/>
    <w:rsid w:val="319C3F0E"/>
    <w:rsid w:val="32E259AF"/>
    <w:rsid w:val="32EF792F"/>
    <w:rsid w:val="32F639CE"/>
    <w:rsid w:val="3354553F"/>
    <w:rsid w:val="39C05EEE"/>
    <w:rsid w:val="3B3C3767"/>
    <w:rsid w:val="3B6C7CD2"/>
    <w:rsid w:val="3F3074F0"/>
    <w:rsid w:val="3FA64D14"/>
    <w:rsid w:val="47412FDC"/>
    <w:rsid w:val="4A23641B"/>
    <w:rsid w:val="4CF07BED"/>
    <w:rsid w:val="4D6D03F6"/>
    <w:rsid w:val="4F094E86"/>
    <w:rsid w:val="51313126"/>
    <w:rsid w:val="557922A2"/>
    <w:rsid w:val="56283A96"/>
    <w:rsid w:val="57F2192D"/>
    <w:rsid w:val="5A6203B5"/>
    <w:rsid w:val="5C8001D2"/>
    <w:rsid w:val="630D41A9"/>
    <w:rsid w:val="6437590D"/>
    <w:rsid w:val="65BBDDBB"/>
    <w:rsid w:val="66DC7218"/>
    <w:rsid w:val="67C53578"/>
    <w:rsid w:val="69751BE3"/>
    <w:rsid w:val="6CDA415E"/>
    <w:rsid w:val="6D1719EB"/>
    <w:rsid w:val="6E6E665B"/>
    <w:rsid w:val="6FC744AF"/>
    <w:rsid w:val="6FD17C1C"/>
    <w:rsid w:val="73B20806"/>
    <w:rsid w:val="741337E8"/>
    <w:rsid w:val="750A2458"/>
    <w:rsid w:val="767223DF"/>
    <w:rsid w:val="77C04626"/>
    <w:rsid w:val="7BFF4C64"/>
    <w:rsid w:val="7EB521FF"/>
    <w:rsid w:val="7F3A81E4"/>
    <w:rsid w:val="B7FF8222"/>
    <w:rsid w:val="BE536DA7"/>
    <w:rsid w:val="DB83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2776</Words>
  <Characters>3397</Characters>
  <Lines>16</Lines>
  <Paragraphs>4</Paragraphs>
  <TotalTime>0</TotalTime>
  <ScaleCrop>false</ScaleCrop>
  <LinksUpToDate>false</LinksUpToDate>
  <CharactersWithSpaces>3410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2023-09-01T18:19:00Z</dcterms:created>
  <dc:creator>YANG</dc:creator>
  <cp:lastModifiedBy>Administrator</cp:lastModifiedBy>
  <dcterms:modified xsi:type="dcterms:W3CDTF">2025-08-01T06:22:11Z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743B02F4139F4D068A022FB006814BE7_12</vt:lpwstr>
  </property>
</Properties>
</file>