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庞各庄镇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2024年财政决算、2025年1-7月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预算执行和预算调整情况的报告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——202</w:t>
      </w:r>
      <w:r>
        <w:rPr>
          <w:rFonts w:hint="default" w:ascii="楷体_GB2312" w:hAnsi="楷体_GB2312" w:eastAsia="楷体_GB2312" w:cs="楷体_GB2312"/>
          <w:sz w:val="32"/>
          <w:szCs w:val="32"/>
          <w:lang w:val="en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年</w:t>
      </w:r>
      <w:r>
        <w:rPr>
          <w:rFonts w:hint="default" w:ascii="楷体_GB2312" w:hAnsi="楷体_GB2312" w:eastAsia="楷体_GB2312" w:cs="楷体_GB2312"/>
          <w:sz w:val="32"/>
          <w:szCs w:val="32"/>
          <w:lang w:val="en" w:eastAsia="zh-CN"/>
        </w:rPr>
        <w:t>8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</w:t>
      </w:r>
      <w:r>
        <w:rPr>
          <w:rFonts w:hint="eastAsia" w:ascii="楷体_GB2312" w:hAnsi="楷体_GB2312" w:eastAsia="楷体_GB2312" w:cs="楷体_GB2312"/>
          <w:sz w:val="32"/>
          <w:szCs w:val="32"/>
        </w:rPr>
        <w:t>日在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北京市大兴区庞各庄镇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八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次会议上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庞各庄镇产业发展服务中心（财政）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受庞各庄镇人民政府委托，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产业发展服务中心（财政）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向大会提交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2024年财政决算、2025年1-7月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财政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预算执行和预算调整情况的报告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，请各位代表审议。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第一部分202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财政决算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年，面对严峻的财政收支形势和艰巨的财政发展改革任务，在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镇党</w:t>
      </w:r>
      <w:r>
        <w:rPr>
          <w:rFonts w:hint="eastAsia" w:ascii="仿宋_GB2312" w:hAnsi="仿宋_GB2312" w:eastAsia="仿宋_GB2312" w:cs="仿宋_GB2312"/>
          <w:sz w:val="32"/>
          <w:szCs w:val="32"/>
        </w:rPr>
        <w:t>委的坚强领导下，在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人大的依法监督下，全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上下坚持以习近平新时代中国特色社会主义思想为指导，坚持稳字当头、稳中求进，加力提效落实积极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财政政策，努力提升财政资源配置效率和资金使用效益，有力保障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经济社会平稳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2024年财政决算情况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2024年，庞各庄镇预算总收支78299.64万元，其中：一般公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65514万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元，政府性基金预算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12785.64万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一般公共预算收支决算情况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一般公共预算总收入65514万元，其中：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一般公共预算财政收入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11516.38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35.3%。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体制补助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3862万元，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9455.57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其他一般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6411.98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26572.52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万元；上年结余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7695.55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一般公共预算总支出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65514万元，其中：一般公共预算支出57195.57万元，上解支出6033.63万元，结转下年使用2284.8万元。</w:t>
      </w:r>
    </w:p>
    <w:p>
      <w:pPr>
        <w:pStyle w:val="3"/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一般公共预算收支平衡。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1.主要收入科目决算情况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税收收入52170万元，完成镇级财政收入11516万元，同比去年减少6283万元，下降35.30%。其中：增值税39989万元，完成镇级财政收入4999万元，同比去年减少172万元，下降3.33%，主要是2024年9月，中建铁路投资建设集团有限公司增值税留抵退税3987万元，影响镇级财政收入498万元；企业所得税8259万元，完成镇级财政收入1239万元，同比去年增加267万元，增长27.45%，主要是2023年6月，北京龙熙顺景房地产开发有限责任公司一次性退税6530万元，影响镇级财政收入-980万元，导致2023年基数较低。2024年北京东嘉投资有限公司因减持股份导致企业所得税增收1760万元，形成镇级财政收入264万元；土地增值税-3846万元，完成镇级财政收入-962万元，同比去年减少5895万元，下降119.49%，主要是2023年一季度，我镇对北京永同昌房地产开发集团有限公司开展土增税清算工作，纳税款12800万元，形成镇级财政收入3200万元，导致2023年基数较高。2024年11月，北京中海兴达房地产开发有限公司土地增值税退税9341万元，影响镇级财政收入-2335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2.主要支出科目决算情况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一般公共服务支出9837.91 万元，完成调整预算的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101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%。主要用于在职在编人员工资及公用经费，社区村党组织服务群众经费，政府保安、保洁、物业等项目支出。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国防支出34.98万元，完成调整预算的10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%。主要用于义务兵优待金、训练经费。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公共安全支出27.61万元，完成调整预算的138%。主要用于司法项目经费。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文化旅游体育与传媒支出230.04万元，完成调整预算的11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%。主要用于文体转移支付经费、三节一赛、旅游公共服务设施等项目。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社会保障和就业支出6277.03万元，完成调整预算的92%。主要用于在职在编人员社会保障缴费、民政经费、社保经费等项目。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卫生健康支出5404.13万元，完成调整预算的94%。主要用于卫生院在职在编人员工资经费、卫生项目经费、基本公共卫生经费、计划生育资金经费等项目。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节能环保支出2486.22 万元，完成调整预算的110%。主要用于庞各庄镇大气精细化治理，2023-2024年取暖季“煤改电”长效管护、蓄能电暖器用户电费补贴等项目。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城乡社区支出8932.87万元，完成调整预算的52%。主要用于农村地区保洁员工资、疏解整治促提升、农村公厕运维等项目。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农林水支出22583.42万元，完成调整预算的81%。主要用于农村公益事业金经费、大兴区老北京水果示范基地建设项目、西瓜商品苗成本补贴、设施蔬菜产业集群、北京市设施农业以奖代补等项目。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自然资源海洋气象等支出383.06万元，完成调整预算的100%。主要用于大兴区房地一体的宅基地、集体建设用地权籍调查和确权登记。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住房保障支出56.06万元，完成调整预算的113%。主要用于庞各庄镇老旧小区综合整治等项目。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灾害防治及应急管理支出942.24万元，完成调整预算的38倍。主要用于安全消防经费等项目。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3.预备费支出情况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镇级预备费未支出。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4.上年结转资金使用情况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上年结转资金主要用于城镇综合投入相关支出。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5.一般性转移支付情况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一般性转移支付主要用于提高公共服务水平，发展社保、卫生、文体事业，促进乡村振兴；专项转移支付主要用于推动我镇农业、林业、水务等领域发展，保障重点项目实施。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6.“三公”经费支出情况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庞各庄镇深入贯彻中央八项规定精神，严格控制行政成本，“三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公”经费财政拨款支出合计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21.56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万元，比年初预算下降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74.93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%，比上年决算下降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29.1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%。主要原因是严格公务用车购置，加强公务用车日常使用管理，整体费用下降。其中：因公出国(境)费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万元，公务接待费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万元，公务用车购置及运行维护费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21.56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政府性基金预算收支决算情况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政府性基金预算总收入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12785.64万元，其中：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政府基金固定补助收入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128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10565.64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政府性基金预算总支出12785.64万元。其中：城乡社区支出12784.53万元，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主要用于庞各庄镇中心卫生院新建工程、庞各庄镇老旧小区雨污水改造工程等项目；资源勘探工业信息等支出1.11万元。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政府性基金预算收支平衡。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落实区人大预算审查意见情况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年，产业发展服务中心（财政）全面贯彻《中华人民共和国预算法》和《北京市预算审查监督条例》，认真落实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人大审查意见，充分发挥财政在构建新发展格局中的引导带动作用，为我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经济社会高质量发展提供有力保障。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sz w:val="32"/>
          <w:szCs w:val="32"/>
          <w:highlight w:val="none"/>
        </w:rPr>
        <w:t>（一）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强化财源建设，促进财政增收。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紧盯招商引资不动摇。用好联东U谷、中化岩土、兴展启航三大产业园区的招商平台，深度挖掘已落地企业上下游产业链，构建以商招商的繁荣生态。2024年已引进（签约联东U谷）和正在洽谈企业共19家。同时，依托镇域大空间产业发展优势，结合梨花节、西瓜擂台赛等旅游热点，开展特色招商活动,成功吸引泰湖国科、广宇大成等5家百万级税源企业签约落地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入走访助力企业增收。2024年我镇对51家市级清单企业和9家潜力中小微企业开展走访调研，了解企业经营现状，收集企业对优化镇域营商环境的建议。积极向企业宣传大兴区“1+N”产业政策，帮助企业用好用足惠企政策。经走访，2024年我镇市级清单企业地方级收入相比去年同期增加1292万元；潜力中小微企业地方级财政收入相比去年同期增长819万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做好重点税源监控管理。积极与税务部门沟通，加大对我镇税收大户企业对接力度，紧密跟踪重大税源缴纳进度。2024年第1季度，龙熙房地产3060万元（形成镇级财政收入765万元）土地增值税顺利入库。7月至10月，东嘉投资陆续缴纳增值税和企业所得税3113万元（形成镇级财政收入434万元）。确保我镇在存在企业大额退税情况前提下，完成财政收入11516万元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sz w:val="32"/>
          <w:szCs w:val="32"/>
          <w:shd w:val="clear" w:color="auto" w:fill="auto"/>
          <w:lang w:val="en-US" w:eastAsia="zh-CN"/>
        </w:rPr>
        <w:t>优化支出结构，增进民生福祉。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支持卫生健康事业发展。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坚持人民至上、生命至上原则，发挥财政资金效能，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不断完善公共卫生服务体系、医疗服务体系、急救保障体系与应急管理体系，全面提升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我镇应急事项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防控和救治能力，切实维护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人民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生命安全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支持文化体育事业发展。开展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多样化的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群众文化活动，打造一批特色原创节目，推进公益性文化设施免费开放；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完善全民健身服务体系，开展全民体质测试、趣味运动会、健步走等活动，倡导全民健身。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不折不扣落实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社会保障政策。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严格按要求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发放各类社保对象补助资金，保障社会弱势群体基本生活。推进养老服务体系建设，支持残疾人事业发展。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四是持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续改善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镇域生态环境质量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支持打好蓝天、碧水、净土保卫战，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扎实推进农村人居环境整治、垃圾分类和大气污染防治工作。着力解决农村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社区侵街占道、私搭乱建、乱堆乱放等问题。完善村规民约，引导广大农民养成良好生活习惯，实现农民文明素质和农村环境面貌双提升。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三</w:t>
      </w:r>
      <w:r>
        <w:rPr>
          <w:rFonts w:hint="eastAsia" w:eastAsia="楷体_GB2312"/>
          <w:sz w:val="32"/>
          <w:szCs w:val="32"/>
        </w:rPr>
        <w:t>）加强</w:t>
      </w:r>
      <w:r>
        <w:rPr>
          <w:rFonts w:hint="eastAsia" w:eastAsia="楷体_GB2312"/>
          <w:sz w:val="32"/>
          <w:szCs w:val="32"/>
          <w:lang w:val="en-US" w:eastAsia="zh-CN"/>
        </w:rPr>
        <w:t>预算</w:t>
      </w:r>
      <w:r>
        <w:rPr>
          <w:rFonts w:hint="eastAsia" w:eastAsia="楷体_GB2312"/>
          <w:sz w:val="32"/>
          <w:szCs w:val="32"/>
        </w:rPr>
        <w:t>管理，</w:t>
      </w:r>
      <w:r>
        <w:rPr>
          <w:rFonts w:hint="eastAsia" w:eastAsia="楷体_GB2312"/>
          <w:sz w:val="32"/>
          <w:szCs w:val="32"/>
          <w:lang w:val="en-US" w:eastAsia="zh-CN"/>
        </w:rPr>
        <w:t>提高财政效能。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Times New Roman" w:hAnsi="Times New Roman" w:eastAsia="仿宋_GB2312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严格预算资金使用。细化部门预算编制，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全面梳理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依据和标准，规范申报程序和格式，优先安排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“保工资、保运转、保基本民生”类项目资金支出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及影响区域发展的重点改革项目。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严格执行零基预算要求，建立动态调整机制，加大对当年调整、追加项目的财政评估、评审力度，保障预算执行严肃规范。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对照市区要求，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以资源合理配置和高效利用为目的，</w:t>
      </w:r>
      <w:r>
        <w:rPr>
          <w:rFonts w:hint="eastAsia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提升财政资金使用效益。</w:t>
      </w:r>
      <w:r>
        <w:rPr>
          <w:rFonts w:hint="eastAsia" w:ascii="仿宋_GB2312" w:hAnsi="Times New Roman" w:eastAsia="仿宋_GB2312" w:cs="黑体"/>
          <w:b/>
          <w:bCs/>
          <w:spacing w:val="0"/>
          <w:sz w:val="32"/>
          <w:szCs w:val="32"/>
          <w:lang w:val="en-US" w:eastAsia="zh-CN" w:bidi="en-US"/>
        </w:rPr>
        <w:t>三是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紧密跟进支出进度。严格落实专项转移支付下达时限的有关要求，对已明确补助对象和金额的中央、市级、区级专项转移支付，在规定时间内下达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预算科室，在确保资金规范使用的情况下，加强预算执行分析，做到支出进度不低于时间进度。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预算执行过程中存在的问题及下一步工作措施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总体看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政府及各组成部门在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人大的监督指导下，全面落实各项工作部署，提高财政资金保障能力，圆满完成全年财政工作任务。在取得一定成效的同时，我们清醒地看到，财政工作仍面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临一些困难和问题，主要表现在：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财政收入未能完成区级任务。受企业退税、纳税企业注销、土增税清算周期较长、储备项目落地周期长等多重因素影响，2024年我镇实际完成财政收入11516万元，与区级19293万元财政任务有较大差距。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“三保”支出预算压力较大。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人员支出预算包括行政人员、事业编制人员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村（居）委干部工资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合同制聘用人员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项目支出预算中招商引资、市政绿化、社会稳定以及镇街基础设施建设等工作项目繁多，经济支出压力巨大。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对于这些问题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，我们将高度重视，采取有力措施，努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力加以解决。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持续推进财源建设。深入开展对企服务走访，加强重点企业税源跟踪，做好潜力财源精准服务，培育财源贡献点。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强化财政收支统筹平衡。抓好全年收入组织，加强财政、税务等多部门联动，全力以赴实现镇级收入目标；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三是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进一步提升财政管理质效。强化部门绩效管理和成本控制理念，深入开展财会监督、预算执行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监控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，进一步规范资金使用的合规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第二部分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一般公共预算调整情况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（一）一般公共预算总收入调整情况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此项无调整。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（二）一般公共预算总支出调整情况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一般公共预算支出由51358.37万元，调整为58626.69万元，增加7268.32万元。其中调整项明细如下：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1.一般公共服务支出由9497.99万元，调整为9853.22万元,增加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355.23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万元，主要是增加大兴区违法建设治理2024年疏整促专项行动补助资金等支出。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2.国防支出由0万元，调整为1.6万元,增加1.6万元，主要是增加义务兵优待金、训练经费支出。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3.文化体育与传媒支出由251万元，调整为310.5万元，增加59.5万元，主要是增加文体转移支付支出。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4.社会保障和就业支出由5526.27万元，调整为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5839.13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312.86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万元，主要是增加公益性就业岗位补贴、民政经费等支出。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5.卫生健康支出由4596.74万元，调整为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4915.63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318.89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万元，主要是增加基层医疗卫生机构绩效增量、计划生育资金经费等支出。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6.节能环保支出1292万元，无调整。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.城乡社区支出由9536.92万元，调整为11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826.99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2290.07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万元，主要是增加庞各庄镇中心卫生院项目、劳务派遣等支出。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.农林水支出由20612.6万元，调整为23012.37万元，增加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2399.77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万元，主要是增加设施农业以奖代补项目、乡村振兴战略奖励资金等支出。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.交通运输支出由0万元，调整为67.26万元，增加67.26万元，主要是增加政府还贷二级公路取消收费后补助资金支出。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.自然资源海洋气象等支出由0万元，调整为287.3万元，增加287.3万元，主要是增加宅基地、集体建设用地权籍调查和确权登记资金支出。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11.住房保障支出由44.83万元，调整为1032.7万元，增加987.87万元，主要是增加住房补贴第四批补发项目支出。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.灾害防治及应急管理支出由0万元，调整为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187.98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187.98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万元，主要是增加安全消防经费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上解支出调整情况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（四）预备费支出调整情况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政府性基金预算调整情况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（一）政府性基金预算总收入调整情况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此项无调整。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（二）政府性基金预算总支出调整情况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基金预算总支出由12694.63万元，调整为15132.30万元，增加2437.67万元，主要调整情况如下：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城乡社区支出由12694.63万元，调整为14806.41万元，增加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2111.78万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是增加大兴区庞各庄镇隆顺西街道路建设工程项目、庞各庄镇路灯照明工程（二期）等支出。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 w:bidi="ar-SA"/>
        </w:rPr>
        <w:t>2.资源勘探工业信息等支出由0万元，调整为325.89万元，增加325.89万元。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部分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2025年1-7月预算执行情况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中华人民共和国成立76周年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，是实施“十四五”规划的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收官之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年，我们将始终坚持习近平新时代中国特色社会主</w:t>
      </w:r>
      <w:r>
        <w:rPr>
          <w:rFonts w:hint="eastAsia" w:ascii="仿宋_GB2312" w:hAnsi="仿宋_GB2312" w:eastAsia="仿宋_GB2312" w:cs="仿宋_GB2312"/>
          <w:sz w:val="32"/>
          <w:szCs w:val="32"/>
        </w:rPr>
        <w:t>义思想，认真落实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政府各项决策部署，坚持以政领财、以财辅政，推动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我镇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财政事业发展达到新水平。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  <w:t>2025年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1-7月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一般公共预算执行情况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一般公共预算收入完成57490.13万元，其中：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一般公共预算财政收入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10673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22510.26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Times New Roman" w:eastAsia="仿宋_GB2312"/>
          <w:color w:val="0000FF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22022.07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万元；上年结余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2284.8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一般公共预算支出完成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36911.8万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元，其中: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一般公共服务支出6860.82万元;国防支出1.6万元；文化旅游体育与传媒支出121.69万元；社会保障和就业支出3635.92万元；卫生健康支出3400.19万元；节能环保支出362.95万元；城乡社区支出5400.25万元；农林水支出15907.7万元；住房保障支出1032.7万元；灾害防治及应急管理支出187.98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政府性基金预算执行情况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政府性基金总收入14741.29万元，其中：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一般性转移支付收入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2220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万元，专项转移支付收入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12521.29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政府性基金预算总支出完成5202.66万元，其中：城乡社区支出4876.77万元,资源勘探工业信息等支出325.89万元。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  <w:t>1-7月</w:t>
      </w: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eastAsia="zh-CN"/>
        </w:rPr>
        <w:t>工作进展情况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月，从收入形势看，财源建设成果初步显现，产业转型升级逐渐步入加速轨道，但受实施减税降费政策、重点财源储备项目建设周期长等因素影响，财政收入将继续承压运行。从支出形势看，各领域对财政资金需求仍呈快速增长态势，实施“十四五”规划、培育高精尖产业等重点任务资金需求旺盛，基本民生保障、城市运维等刚性支出保障压力增大。综合来看，2025年财政收支依然持续紧平衡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（一）深耕财源建设工作。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继续做好招商引资工作。依托采摘节、梨花节等节庆活动开展招商引资宣传推介，全力营造大抓招商、真抓招商的浓厚氛围。充分用好联东U谷、中化岩土、兴展启航园、安盾兰达4个产业园区，以及工业园区闲置空间，着力吸引生物医药、医疗美容、科技研发、航空航天等业态集聚。主动对接4个区级驻点招商组，积极组织镇级工作人员和企业招商人员赴京外开展招商引资工作，时刻关注有意向落户企业的发展动态和现实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（二）加强预算管理工作。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严格预算资金使用。优先安排“保工资、保运转、保基本民生”类项目资金支出及影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响区域发展的重点改革项目。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提升财政资金使用效益。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紧密跟进支出进度。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加强预算执行分析，做到支出进度不低于时间进度。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（三）发挥财政政策工具作用。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强化绩效管理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成本控制，全面加强项目评估评审，加强成本绩效控制，选取重点领域开展成本绩效分析，做到以评价促管理。深入推进政府采购全流程电子化改革，运用“互联网+政府采购”电子化工具，实现政府采购事前、事中、事后实时预警，提高政府采购高效、规范水平，营造有序竞争的采购市场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下一阶段财政重点工作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下一阶段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继续坚持以习近平新时代中国特色社会主义思想为指导，全面贯彻落实党的二十大、中央经济工作会议、全国财政工作会等重要会议精神，坚持稳中求进、以进促稳、先立后破，贯彻落实积极的财政政策要适度加力、提质增效工作要求，在支出上持续发力，在政策上强化落实，在运行中严防风险，为推动镇域经济社会高质量发展贡献财政力量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（一）积极组织财政收入。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FFFFFF" w:fill="D9D9D9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继续做好招商引资工作。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对接驻外省招商小组，积极参与区级赴外省招商团队，保持与外省优质企业密切联系，时刻关注意向落户企业的发展动态和现实需求。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持续做好对企服务工作。持续提升服务意识，不断优化对企服务，加大对重点税源企业走访调研频次和力度，倾听企业诉求，全面了解情况，深入研究问题，统筹镇域资源，努力助企纾困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强化税源监控管理工作。完善与税务、工商等部门联动机制，共享信息资源，加强属地管理，重点监控存在纳税疑点企业，做好协税护税工作。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（二）继续优化支出结构。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统筹财力保障重点。全面梳理全镇重点工作，统筹安排体制资金，优先保障“三保”资金支出，坚持财力向民生倾斜，树牢“政府过紧日子”思想，进一步压缩行政运行支出，严控三公经费，为镇级重点工程项目实施提供财力支撑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严格做好预算执行。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在保证资金使用安全规范条件下，合理加快预算支出执行进度，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做到支出进度不低于时间进度，加强预算执行分析，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促进财政资金尽快发挥政策效应。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做好资金转移支付。严格落实专项转移支付下达时限有关要求，对已明确补助对象和金额的中央、市级和区级专项转移支付，在规定时间内下达到预算单位。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（三）完善财政监管体系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强化专项资金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管理力度。严格按照专项资金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和直达资金管理办法，在规定的用途和时限范围内用好专项资金和直达资金。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提升财政信息公开质量。明确政府信息公开主体责任，对财政预决算、直达资金、三公经费等内容在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政府网站上及时公示，确保公开数据完整、真实、准确，着力建设“透明财政”。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自觉接受人大监督。强化主动接受人大监督意识，自觉接受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人大监督，认真落实人大决定、决议。积极办理人大代表提案，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沟通协调，有效提升提案办理质量。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任务艰巨、使命光荣。让我们始终以习近平新时代中国特色社会主义思想为引领，在区委区政府和镇党委坚强领导下，推动财政保障能力达到新水平，财政治理效能实现新突破，全力服务保障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中心工作，为共同打造“京南最美小镇、机场后花园”尽显责任担当。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以上报告，请予审议。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281C6362"/>
    <w:rsid w:val="0230316A"/>
    <w:rsid w:val="02FC742A"/>
    <w:rsid w:val="03E333AF"/>
    <w:rsid w:val="0442759B"/>
    <w:rsid w:val="05C45EA8"/>
    <w:rsid w:val="064661B2"/>
    <w:rsid w:val="06480D63"/>
    <w:rsid w:val="065E01A9"/>
    <w:rsid w:val="06CB6E8B"/>
    <w:rsid w:val="08282C05"/>
    <w:rsid w:val="0A2E0426"/>
    <w:rsid w:val="0A3B36A6"/>
    <w:rsid w:val="0A4E44BB"/>
    <w:rsid w:val="0A6B0581"/>
    <w:rsid w:val="0B1674C4"/>
    <w:rsid w:val="0B43634E"/>
    <w:rsid w:val="0C3E4B67"/>
    <w:rsid w:val="0FE9053B"/>
    <w:rsid w:val="10075E4E"/>
    <w:rsid w:val="10086A2E"/>
    <w:rsid w:val="10817EDC"/>
    <w:rsid w:val="10EA6DED"/>
    <w:rsid w:val="12D14BDB"/>
    <w:rsid w:val="134D48D8"/>
    <w:rsid w:val="139A05E4"/>
    <w:rsid w:val="15710569"/>
    <w:rsid w:val="158B11EE"/>
    <w:rsid w:val="16730824"/>
    <w:rsid w:val="175F1FDC"/>
    <w:rsid w:val="18852F74"/>
    <w:rsid w:val="1A4128FE"/>
    <w:rsid w:val="1AB1731B"/>
    <w:rsid w:val="1B1924B4"/>
    <w:rsid w:val="1C484510"/>
    <w:rsid w:val="1D4030E5"/>
    <w:rsid w:val="1D584E7E"/>
    <w:rsid w:val="1D692289"/>
    <w:rsid w:val="1DE14127"/>
    <w:rsid w:val="1FA54FF5"/>
    <w:rsid w:val="207E6399"/>
    <w:rsid w:val="21643CFB"/>
    <w:rsid w:val="21731914"/>
    <w:rsid w:val="21F83563"/>
    <w:rsid w:val="22554D9D"/>
    <w:rsid w:val="226F2675"/>
    <w:rsid w:val="22C569FB"/>
    <w:rsid w:val="22E22ED0"/>
    <w:rsid w:val="23AD5DCA"/>
    <w:rsid w:val="23B22752"/>
    <w:rsid w:val="24651730"/>
    <w:rsid w:val="24DC62DB"/>
    <w:rsid w:val="25851352"/>
    <w:rsid w:val="25EB6654"/>
    <w:rsid w:val="260F6CAE"/>
    <w:rsid w:val="26470F6F"/>
    <w:rsid w:val="267F5E46"/>
    <w:rsid w:val="27500176"/>
    <w:rsid w:val="28107A16"/>
    <w:rsid w:val="281C6362"/>
    <w:rsid w:val="282B1E6F"/>
    <w:rsid w:val="29720FEB"/>
    <w:rsid w:val="2A3C56EF"/>
    <w:rsid w:val="2A66073D"/>
    <w:rsid w:val="2AE90F61"/>
    <w:rsid w:val="2BC91BA9"/>
    <w:rsid w:val="2CE21655"/>
    <w:rsid w:val="2D142442"/>
    <w:rsid w:val="2F3C617E"/>
    <w:rsid w:val="2F631359"/>
    <w:rsid w:val="2FB74D7A"/>
    <w:rsid w:val="2FF924D2"/>
    <w:rsid w:val="30810B70"/>
    <w:rsid w:val="30983535"/>
    <w:rsid w:val="30D12EE6"/>
    <w:rsid w:val="31EC3D6D"/>
    <w:rsid w:val="326A4091"/>
    <w:rsid w:val="333663E9"/>
    <w:rsid w:val="33752B2D"/>
    <w:rsid w:val="33840446"/>
    <w:rsid w:val="33BAD029"/>
    <w:rsid w:val="33E443AD"/>
    <w:rsid w:val="3478603E"/>
    <w:rsid w:val="34AD2828"/>
    <w:rsid w:val="35E3020F"/>
    <w:rsid w:val="35F7292A"/>
    <w:rsid w:val="365A280D"/>
    <w:rsid w:val="36D44683"/>
    <w:rsid w:val="3765001D"/>
    <w:rsid w:val="37A87E10"/>
    <w:rsid w:val="37DBBE79"/>
    <w:rsid w:val="382A40C3"/>
    <w:rsid w:val="38FC3A59"/>
    <w:rsid w:val="39A47D31"/>
    <w:rsid w:val="39F946A5"/>
    <w:rsid w:val="3B001369"/>
    <w:rsid w:val="3B596703"/>
    <w:rsid w:val="3B5A32E7"/>
    <w:rsid w:val="3CB3663F"/>
    <w:rsid w:val="3DB77771"/>
    <w:rsid w:val="3E0E1CF8"/>
    <w:rsid w:val="3E50326A"/>
    <w:rsid w:val="3EA65DB4"/>
    <w:rsid w:val="3F0F4E4D"/>
    <w:rsid w:val="3F4F227E"/>
    <w:rsid w:val="400521CB"/>
    <w:rsid w:val="409F5AF7"/>
    <w:rsid w:val="41845CBF"/>
    <w:rsid w:val="41A83941"/>
    <w:rsid w:val="41F361FE"/>
    <w:rsid w:val="42320865"/>
    <w:rsid w:val="426340B2"/>
    <w:rsid w:val="42660743"/>
    <w:rsid w:val="43215EAA"/>
    <w:rsid w:val="43586125"/>
    <w:rsid w:val="443E7031"/>
    <w:rsid w:val="44531A97"/>
    <w:rsid w:val="44F30D71"/>
    <w:rsid w:val="454120A8"/>
    <w:rsid w:val="45C47126"/>
    <w:rsid w:val="46271A4E"/>
    <w:rsid w:val="46530D38"/>
    <w:rsid w:val="47390BE8"/>
    <w:rsid w:val="47467D1F"/>
    <w:rsid w:val="47C543E3"/>
    <w:rsid w:val="487D59F9"/>
    <w:rsid w:val="48C06460"/>
    <w:rsid w:val="49F42883"/>
    <w:rsid w:val="4A5C10C3"/>
    <w:rsid w:val="4A6E22FC"/>
    <w:rsid w:val="4AC130B8"/>
    <w:rsid w:val="4B6E01A4"/>
    <w:rsid w:val="4C255D36"/>
    <w:rsid w:val="4C34309F"/>
    <w:rsid w:val="4E1A5180"/>
    <w:rsid w:val="4E565FBB"/>
    <w:rsid w:val="4EF9183C"/>
    <w:rsid w:val="4F3D0EBA"/>
    <w:rsid w:val="5031633A"/>
    <w:rsid w:val="5043429C"/>
    <w:rsid w:val="506308E7"/>
    <w:rsid w:val="515B64AC"/>
    <w:rsid w:val="532B51AE"/>
    <w:rsid w:val="538A1FD1"/>
    <w:rsid w:val="53ED078E"/>
    <w:rsid w:val="54093317"/>
    <w:rsid w:val="54294005"/>
    <w:rsid w:val="553A737B"/>
    <w:rsid w:val="578F7071"/>
    <w:rsid w:val="583656E7"/>
    <w:rsid w:val="58B4451D"/>
    <w:rsid w:val="58D033D1"/>
    <w:rsid w:val="59FB1E5B"/>
    <w:rsid w:val="5A182486"/>
    <w:rsid w:val="5B16691F"/>
    <w:rsid w:val="5BDFDD28"/>
    <w:rsid w:val="5C343782"/>
    <w:rsid w:val="5CFA0413"/>
    <w:rsid w:val="5D120AFC"/>
    <w:rsid w:val="5D292518"/>
    <w:rsid w:val="5DAD56C8"/>
    <w:rsid w:val="5E661C45"/>
    <w:rsid w:val="5E7761E2"/>
    <w:rsid w:val="5EAF2932"/>
    <w:rsid w:val="5F145FA5"/>
    <w:rsid w:val="5F851ACB"/>
    <w:rsid w:val="5FB960CB"/>
    <w:rsid w:val="5FF77BA4"/>
    <w:rsid w:val="60452947"/>
    <w:rsid w:val="61143454"/>
    <w:rsid w:val="616B0BFF"/>
    <w:rsid w:val="621852EA"/>
    <w:rsid w:val="624D5511"/>
    <w:rsid w:val="62C76057"/>
    <w:rsid w:val="630C5A7F"/>
    <w:rsid w:val="65423244"/>
    <w:rsid w:val="6556678D"/>
    <w:rsid w:val="65D11F15"/>
    <w:rsid w:val="661826F5"/>
    <w:rsid w:val="67945889"/>
    <w:rsid w:val="68E41CB5"/>
    <w:rsid w:val="694A6015"/>
    <w:rsid w:val="694D7F63"/>
    <w:rsid w:val="695B2112"/>
    <w:rsid w:val="6B446305"/>
    <w:rsid w:val="6BB4534A"/>
    <w:rsid w:val="6C8330A8"/>
    <w:rsid w:val="6CB2311B"/>
    <w:rsid w:val="6CCA5278"/>
    <w:rsid w:val="6DB93AB7"/>
    <w:rsid w:val="6F9B2EE0"/>
    <w:rsid w:val="6FB5E4AF"/>
    <w:rsid w:val="7121555C"/>
    <w:rsid w:val="72A911AD"/>
    <w:rsid w:val="72BA4920"/>
    <w:rsid w:val="72E53828"/>
    <w:rsid w:val="72EE05FC"/>
    <w:rsid w:val="73376754"/>
    <w:rsid w:val="73542187"/>
    <w:rsid w:val="73B55358"/>
    <w:rsid w:val="7497694C"/>
    <w:rsid w:val="74D35FB4"/>
    <w:rsid w:val="75244341"/>
    <w:rsid w:val="752538CD"/>
    <w:rsid w:val="75E038D6"/>
    <w:rsid w:val="75FDEB2F"/>
    <w:rsid w:val="767911A1"/>
    <w:rsid w:val="76FC571B"/>
    <w:rsid w:val="76FDAF1E"/>
    <w:rsid w:val="77163B5C"/>
    <w:rsid w:val="776E76C3"/>
    <w:rsid w:val="78360D55"/>
    <w:rsid w:val="78532E4C"/>
    <w:rsid w:val="78745E12"/>
    <w:rsid w:val="793F37DC"/>
    <w:rsid w:val="795D36A8"/>
    <w:rsid w:val="799C2085"/>
    <w:rsid w:val="79C34564"/>
    <w:rsid w:val="7AA13D03"/>
    <w:rsid w:val="7AAF2495"/>
    <w:rsid w:val="7B09183D"/>
    <w:rsid w:val="7C2800E8"/>
    <w:rsid w:val="7CB87032"/>
    <w:rsid w:val="7D23415F"/>
    <w:rsid w:val="7DF23973"/>
    <w:rsid w:val="7E175E4A"/>
    <w:rsid w:val="7E4F633F"/>
    <w:rsid w:val="7EFD30CF"/>
    <w:rsid w:val="7F335AE3"/>
    <w:rsid w:val="BD7966FD"/>
    <w:rsid w:val="BDFD4F10"/>
    <w:rsid w:val="DCEBED4D"/>
    <w:rsid w:val="E7FF243F"/>
    <w:rsid w:val="FB41B0F9"/>
    <w:rsid w:val="FFB7A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黑体"/>
    </w:rPr>
  </w:style>
  <w:style w:type="paragraph" w:styleId="3">
    <w:name w:val="Normal Indent"/>
    <w:basedOn w:val="1"/>
    <w:next w:val="4"/>
    <w:qFormat/>
    <w:uiPriority w:val="0"/>
    <w:pPr>
      <w:spacing w:line="560" w:lineRule="exact"/>
      <w:ind w:firstLine="420" w:firstLineChars="200"/>
    </w:pPr>
    <w:rPr>
      <w:rFonts w:ascii="仿宋_GB2312" w:hAnsi="仿宋_GB2312"/>
    </w:rPr>
  </w:style>
  <w:style w:type="paragraph" w:styleId="4">
    <w:name w:val="toc 8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next w:val="1"/>
    <w:unhideWhenUsed/>
    <w:qFormat/>
    <w:uiPriority w:val="99"/>
    <w:pPr>
      <w:widowControl w:val="0"/>
      <w:ind w:left="1600" w:leftChars="1600"/>
      <w:jc w:val="both"/>
    </w:pPr>
    <w:rPr>
      <w:rFonts w:ascii="宋体" w:hAnsi="宋体" w:eastAsia="仿宋_GB2312" w:cs="Times New Roman"/>
      <w:snapToGrid w:val="0"/>
      <w:kern w:val="32"/>
      <w:sz w:val="32"/>
      <w:szCs w:val="32"/>
      <w:lang w:val="en-US" w:eastAsia="zh-CN" w:bidi="ar-SA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3">
    <w:name w:val="目录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  <w:style w:type="paragraph" w:customStyle="1" w:styleId="14">
    <w:name w:val="普通(网站)1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2667</Words>
  <Characters>2954</Characters>
  <Lines>0</Lines>
  <Paragraphs>0</Paragraphs>
  <TotalTime>0</TotalTime>
  <ScaleCrop>false</ScaleCrop>
  <LinksUpToDate>false</LinksUpToDate>
  <CharactersWithSpaces>2955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2023-08-05T09:03:00Z</dcterms:created>
  <dc:creator>张权</dc:creator>
  <cp:lastModifiedBy>user</cp:lastModifiedBy>
  <cp:lastPrinted>2025-08-01T14:31:00Z</cp:lastPrinted>
  <dcterms:modified xsi:type="dcterms:W3CDTF">2025-08-15T14:35:51Z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BF89D1C8123D40E284046BEB8DA5AFBC_13</vt:lpwstr>
  </property>
</Properties>
</file>