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32"/>
          <w:szCs w:val="32"/>
        </w:rPr>
        <w:t xml:space="preserve">第一部分 </w:t>
      </w:r>
      <w:r>
        <w:rPr>
          <w:rFonts w:hint="eastAsia" w:ascii="宋体" w:hAnsi="宋体" w:cs="宋体"/>
          <w:b/>
          <w:bCs/>
          <w:spacing w:val="40"/>
          <w:kern w:val="0"/>
          <w:sz w:val="32"/>
          <w:szCs w:val="32"/>
          <w:lang w:eastAsia="zh-CN"/>
        </w:rPr>
        <w:t>2024</w:t>
      </w:r>
      <w:r>
        <w:rPr>
          <w:rFonts w:hint="eastAsia" w:ascii="宋体" w:hAnsi="宋体" w:cs="宋体"/>
          <w:b/>
          <w:bCs/>
          <w:spacing w:val="40"/>
          <w:kern w:val="0"/>
          <w:sz w:val="32"/>
          <w:szCs w:val="32"/>
        </w:rPr>
        <w:t>年度部门决算报表</w:t>
      </w:r>
    </w:p>
    <w:p>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宋体" w:eastAsia="仿宋_GB2312" w:cs="Times New Roman"/>
          <w:color w:val="auto"/>
          <w:sz w:val="28"/>
          <w:szCs w:val="28"/>
        </w:rPr>
      </w:pPr>
      <w:r>
        <w:rPr>
          <w:rFonts w:hint="eastAsia" w:ascii="仿宋_GB2312" w:hAnsi="宋体" w:eastAsia="仿宋_GB2312" w:cs="Times New Roman"/>
          <w:color w:val="auto"/>
          <w:sz w:val="28"/>
          <w:szCs w:val="28"/>
          <w:lang w:eastAsia="zh-CN"/>
        </w:rPr>
        <w:t>（</w:t>
      </w:r>
      <w:r>
        <w:rPr>
          <w:rFonts w:hint="eastAsia" w:ascii="仿宋_GB2312" w:hAnsi="宋体" w:eastAsia="仿宋_GB2312" w:cs="Times New Roman"/>
          <w:color w:val="auto"/>
          <w:sz w:val="28"/>
          <w:szCs w:val="28"/>
          <w:lang w:val="en-US" w:eastAsia="zh-CN"/>
        </w:rPr>
        <w:t>一</w:t>
      </w:r>
      <w:r>
        <w:rPr>
          <w:rFonts w:hint="eastAsia" w:ascii="仿宋_GB2312" w:hAnsi="宋体" w:eastAsia="仿宋_GB2312" w:cs="Times New Roman"/>
          <w:color w:val="auto"/>
          <w:sz w:val="28"/>
          <w:szCs w:val="28"/>
          <w:lang w:eastAsia="zh-CN"/>
        </w:rPr>
        <w:t>）</w:t>
      </w:r>
      <w:r>
        <w:rPr>
          <w:rFonts w:hint="eastAsia" w:ascii="仿宋_GB2312" w:hAnsi="宋体" w:eastAsia="仿宋_GB2312" w:cs="Times New Roman"/>
          <w:color w:val="auto"/>
          <w:sz w:val="28"/>
          <w:szCs w:val="28"/>
        </w:rPr>
        <w:t>机构设置</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部门决算包括：北京市大兴区瀛海镇人民政府（本级）决算和北京市大兴区瀛海镇社区卫生服务中心决算。</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二</w:t>
      </w:r>
      <w:r>
        <w:rPr>
          <w:rFonts w:hint="eastAsia" w:ascii="仿宋_GB2312" w:hAnsi="仿宋_GB2312" w:eastAsia="仿宋_GB2312" w:cs="仿宋_GB2312"/>
          <w:color w:val="auto"/>
          <w:sz w:val="28"/>
          <w:szCs w:val="28"/>
          <w:lang w:eastAsia="zh-CN"/>
        </w:rPr>
        <w:t>）主要职责</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1.贯彻执行国家的法律、法规、规章和市、区人民政府的决定、命令、指示。</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2.执行本镇人民代表大会的各项决议。</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3.制定全镇经济社会发展中、长远期规划和年度计划，并组织实施。</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4.负责本镇的经济、教育、科学、文化体育、卫生、计划生育、财政、民政、优抚、残疾人工作及劳动和社会保障工作。</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5.负责公安、司法、社会治安综合治理以及环保、环卫、交通、安全、能源、防汛等工作。</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6.保护全民所有和集体所有制财产，保护公民私人所有的合法财产，维护社会秩序，保障公民的人身权利、民主权利和其他权利，保护各种经济组织的合法权益，保障少数民族的权利和尊重少数民族的风俗习惯。</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7.保障宪法和法律赋予的妇女的男女平等、同工同酬和婚姻自由等各项权利。</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8.完成上级人民政府交办的其他任务。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57544.25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color w:val="auto"/>
          <w:sz w:val="28"/>
          <w:szCs w:val="28"/>
          <w:lang w:val="en-US" w:eastAsia="zh-CN"/>
        </w:rPr>
        <w:t>7412.14</w:t>
      </w:r>
      <w:r>
        <w:rPr>
          <w:rFonts w:hint="eastAsia" w:ascii="仿宋_GB2312" w:eastAsia="仿宋_GB2312"/>
          <w:sz w:val="28"/>
          <w:szCs w:val="28"/>
        </w:rPr>
        <w:t>万元，增长</w:t>
      </w:r>
      <w:r>
        <w:rPr>
          <w:rFonts w:hint="eastAsia" w:ascii="仿宋_GB2312" w:eastAsia="仿宋_GB2312"/>
          <w:color w:val="auto"/>
          <w:sz w:val="28"/>
          <w:szCs w:val="28"/>
          <w:lang w:val="en-US" w:eastAsia="zh-CN"/>
        </w:rPr>
        <w:t>14.79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53305.66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color w:val="auto"/>
          <w:sz w:val="28"/>
          <w:szCs w:val="28"/>
          <w:lang w:val="en-US" w:eastAsia="zh-CN"/>
        </w:rPr>
        <w:t>5511.16</w:t>
      </w:r>
      <w:r>
        <w:rPr>
          <w:rFonts w:hint="eastAsia" w:ascii="仿宋_GB2312" w:eastAsia="仿宋_GB2312"/>
          <w:sz w:val="28"/>
          <w:szCs w:val="28"/>
        </w:rPr>
        <w:t>万元，增长</w:t>
      </w:r>
      <w:r>
        <w:rPr>
          <w:rFonts w:hint="eastAsia" w:ascii="仿宋_GB2312" w:eastAsia="仿宋_GB2312"/>
          <w:color w:val="auto"/>
          <w:sz w:val="28"/>
          <w:szCs w:val="28"/>
          <w:lang w:val="en-US" w:eastAsia="zh-CN"/>
        </w:rPr>
        <w:t>11.53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41718.22</w:t>
      </w:r>
      <w:r>
        <w:rPr>
          <w:rFonts w:hint="eastAsia" w:ascii="仿宋_GB2312" w:eastAsia="仿宋_GB2312"/>
          <w:sz w:val="28"/>
          <w:szCs w:val="28"/>
        </w:rPr>
        <w:t>万元，占收入合计的</w:t>
      </w:r>
      <w:r>
        <w:rPr>
          <w:rFonts w:hint="eastAsia" w:ascii="仿宋_GB2312" w:eastAsia="仿宋_GB2312"/>
          <w:sz w:val="28"/>
          <w:szCs w:val="28"/>
          <w:lang w:eastAsia="zh-CN"/>
        </w:rPr>
        <w:t>78.26%。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color w:val="000000" w:themeColor="text1"/>
          <w:sz w:val="28"/>
          <w:szCs w:val="28"/>
          <w:lang w:val="en-US" w:eastAsia="zh-CN"/>
          <w14:textFill>
            <w14:solidFill>
              <w14:schemeClr w14:val="tx1"/>
            </w14:solidFill>
          </w14:textFill>
        </w:rPr>
        <w:t>30544.51</w:t>
      </w:r>
      <w:r>
        <w:rPr>
          <w:rFonts w:hint="eastAsia" w:ascii="仿宋_GB2312" w:eastAsia="仿宋_GB2312"/>
          <w:sz w:val="28"/>
          <w:szCs w:val="28"/>
        </w:rPr>
        <w:t>万元，占收入合计的</w:t>
      </w:r>
      <w:r>
        <w:rPr>
          <w:rFonts w:hint="eastAsia" w:ascii="仿宋_GB2312" w:eastAsia="仿宋_GB2312"/>
          <w:color w:val="000000" w:themeColor="text1"/>
          <w:sz w:val="28"/>
          <w:szCs w:val="28"/>
          <w:lang w:val="en-US" w:eastAsia="zh-CN"/>
          <w14:textFill>
            <w14:solidFill>
              <w14:schemeClr w14:val="tx1"/>
            </w14:solidFill>
          </w14:textFill>
        </w:rPr>
        <w:t>57.3</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color w:val="000000" w:themeColor="text1"/>
          <w:sz w:val="28"/>
          <w:szCs w:val="28"/>
          <w:lang w:val="en-US" w:eastAsia="zh-CN"/>
          <w14:textFill>
            <w14:solidFill>
              <w14:schemeClr w14:val="tx1"/>
            </w14:solidFill>
          </w14:textFill>
        </w:rPr>
        <w:t>11173.71</w:t>
      </w:r>
      <w:r>
        <w:rPr>
          <w:rFonts w:hint="eastAsia" w:ascii="仿宋_GB2312" w:eastAsia="仿宋_GB2312"/>
          <w:sz w:val="28"/>
          <w:szCs w:val="28"/>
        </w:rPr>
        <w:t>万元，占收入合计的</w:t>
      </w:r>
      <w:r>
        <w:rPr>
          <w:rFonts w:hint="eastAsia" w:ascii="仿宋_GB2312" w:eastAsia="仿宋_GB2312"/>
          <w:color w:val="000000" w:themeColor="text1"/>
          <w:sz w:val="28"/>
          <w:szCs w:val="28"/>
          <w:lang w:val="en-US" w:eastAsia="zh-CN"/>
          <w14:textFill>
            <w14:solidFill>
              <w14:schemeClr w14:val="tx1"/>
            </w14:solidFill>
          </w14:textFill>
        </w:rPr>
        <w:t>20.96</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10083.63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18.92</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1503.81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2.82</w:t>
      </w:r>
      <w:r>
        <w:rPr>
          <w:rFonts w:hint="eastAsia" w:ascii="仿宋_GB2312" w:eastAsia="仿宋_GB2312"/>
          <w:sz w:val="28"/>
          <w:szCs w:val="28"/>
          <w:highlight w:val="none"/>
        </w:rPr>
        <w:t>%。</w:t>
      </w:r>
    </w:p>
    <w:p>
      <w:pPr>
        <w:pStyle w:val="4"/>
        <w:ind w:firstLine="0"/>
        <w:jc w:val="cente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51492.18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color w:val="auto"/>
          <w:sz w:val="28"/>
          <w:szCs w:val="28"/>
          <w:lang w:val="en-US" w:eastAsia="zh-CN"/>
        </w:rPr>
        <w:t>4691.60</w:t>
      </w:r>
      <w:r>
        <w:rPr>
          <w:rFonts w:hint="eastAsia" w:ascii="仿宋_GB2312" w:eastAsia="仿宋_GB2312"/>
          <w:sz w:val="28"/>
          <w:szCs w:val="28"/>
        </w:rPr>
        <w:t>万元，增长</w:t>
      </w:r>
      <w:r>
        <w:rPr>
          <w:rFonts w:hint="eastAsia" w:ascii="仿宋_GB2312" w:eastAsia="仿宋_GB2312"/>
          <w:color w:val="auto"/>
          <w:sz w:val="28"/>
          <w:szCs w:val="28"/>
          <w:lang w:val="en-US" w:eastAsia="zh-CN"/>
        </w:rPr>
        <w:t>10.02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17146.41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33.3</w:t>
      </w:r>
      <w:r>
        <w:rPr>
          <w:rFonts w:hint="eastAsia" w:ascii="仿宋_GB2312" w:eastAsia="仿宋_GB2312"/>
          <w:sz w:val="28"/>
          <w:szCs w:val="28"/>
          <w:highlight w:val="none"/>
        </w:rPr>
        <w:t>%；项目支出</w:t>
      </w:r>
      <w:r>
        <w:rPr>
          <w:rFonts w:ascii="仿宋_GB2312" w:eastAsia="仿宋_GB2312"/>
          <w:sz w:val="28"/>
          <w:szCs w:val="28"/>
          <w:highlight w:val="none"/>
        </w:rPr>
        <w:t>34345.78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66.7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42625.28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color w:val="auto"/>
          <w:sz w:val="28"/>
          <w:szCs w:val="28"/>
          <w:lang w:val="en-US" w:eastAsia="zh-CN"/>
        </w:rPr>
        <w:t>4665.54</w:t>
      </w:r>
      <w:r>
        <w:rPr>
          <w:rFonts w:hint="eastAsia" w:ascii="仿宋_GB2312" w:eastAsia="仿宋_GB2312"/>
          <w:sz w:val="28"/>
          <w:szCs w:val="28"/>
        </w:rPr>
        <w:t>万元，增长</w:t>
      </w:r>
      <w:r>
        <w:rPr>
          <w:rFonts w:hint="eastAsia" w:ascii="仿宋_GB2312" w:eastAsia="仿宋_GB2312"/>
          <w:color w:val="auto"/>
          <w:sz w:val="28"/>
          <w:szCs w:val="28"/>
          <w:lang w:val="en-US" w:eastAsia="zh-CN"/>
        </w:rPr>
        <w:t>12.29</w:t>
      </w:r>
      <w:r>
        <w:rPr>
          <w:rFonts w:hint="eastAsia" w:ascii="仿宋_GB2312" w:eastAsia="仿宋_GB2312"/>
          <w:sz w:val="28"/>
          <w:szCs w:val="28"/>
        </w:rPr>
        <w:t>%。主要原因：</w:t>
      </w:r>
      <w:r>
        <w:rPr>
          <w:rFonts w:hint="eastAsia" w:ascii="仿宋_GB2312" w:eastAsia="仿宋_GB2312"/>
          <w:color w:val="auto"/>
          <w:sz w:val="28"/>
          <w:szCs w:val="28"/>
        </w:rPr>
        <w:t>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31451.57</w:t>
      </w:r>
      <w:r>
        <w:rPr>
          <w:rFonts w:hint="eastAsia" w:ascii="仿宋_GB2312" w:eastAsia="仿宋_GB2312"/>
          <w:sz w:val="28"/>
          <w:szCs w:val="28"/>
        </w:rPr>
        <w:t>万元，主要用于以下方面（按大类）</w:t>
      </w:r>
      <w:r>
        <w:rPr>
          <w:rFonts w:hint="eastAsia" w:ascii="仿宋_GB2312" w:eastAsia="仿宋_GB2312"/>
          <w:sz w:val="28"/>
          <w:szCs w:val="28"/>
          <w:lang w:eastAsia="zh-CN"/>
        </w:rPr>
        <w:t>：</w:t>
      </w:r>
      <w:r>
        <w:rPr>
          <w:rFonts w:hint="eastAsia" w:ascii="仿宋_GB2312" w:eastAsia="仿宋_GB2312"/>
          <w:color w:val="auto"/>
          <w:sz w:val="28"/>
          <w:szCs w:val="28"/>
        </w:rPr>
        <w:t>一般公共服务支出6853.0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21.79</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教育支出660.77万元，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2.1</w:t>
      </w:r>
      <w:r>
        <w:rPr>
          <w:rFonts w:hint="eastAsia" w:ascii="仿宋_GB2312" w:eastAsia="仿宋_GB2312"/>
          <w:color w:val="auto"/>
          <w:sz w:val="28"/>
          <w:szCs w:val="28"/>
        </w:rPr>
        <w:t>%；文化旅游体育与传媒支出</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0.84</w:t>
      </w:r>
      <w:r>
        <w:rPr>
          <w:rFonts w:hint="eastAsia" w:ascii="仿宋_GB2312" w:eastAsia="仿宋_GB2312"/>
          <w:color w:val="auto"/>
          <w:sz w:val="28"/>
          <w:szCs w:val="28"/>
        </w:rPr>
        <w:t>%；社会保障和就业支出4793.</w:t>
      </w:r>
      <w:r>
        <w:rPr>
          <w:rFonts w:hint="eastAsia" w:ascii="仿宋_GB2312" w:eastAsia="仿宋_GB2312"/>
          <w:color w:val="auto"/>
          <w:sz w:val="28"/>
          <w:szCs w:val="28"/>
          <w:lang w:val="en-US" w:eastAsia="zh-CN"/>
        </w:rPr>
        <w:t>22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15.24</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5370.71</w:t>
      </w:r>
      <w:r>
        <w:rPr>
          <w:rFonts w:hint="eastAsia" w:ascii="仿宋_GB2312" w:eastAsia="仿宋_GB2312"/>
          <w:color w:val="auto"/>
          <w:sz w:val="28"/>
          <w:szCs w:val="28"/>
        </w:rPr>
        <w:t>万元，占本年财政拨款支出17.</w:t>
      </w:r>
      <w:r>
        <w:rPr>
          <w:rFonts w:hint="eastAsia" w:ascii="仿宋_GB2312" w:eastAsia="仿宋_GB2312"/>
          <w:color w:val="auto"/>
          <w:sz w:val="28"/>
          <w:szCs w:val="28"/>
          <w:lang w:val="en-US" w:eastAsia="zh-CN"/>
        </w:rPr>
        <w:t>08</w:t>
      </w:r>
      <w:r>
        <w:rPr>
          <w:rFonts w:hint="eastAsia" w:ascii="仿宋_GB2312" w:eastAsia="仿宋_GB2312"/>
          <w:color w:val="auto"/>
          <w:sz w:val="28"/>
          <w:szCs w:val="28"/>
        </w:rPr>
        <w:t>%；节能环保支出957.53万元，占本年财政拨款支出3.</w:t>
      </w:r>
      <w:r>
        <w:rPr>
          <w:rFonts w:hint="eastAsia" w:ascii="仿宋_GB2312" w:eastAsia="仿宋_GB2312"/>
          <w:color w:val="auto"/>
          <w:sz w:val="28"/>
          <w:szCs w:val="28"/>
          <w:lang w:val="en-US" w:eastAsia="zh-CN"/>
        </w:rPr>
        <w:t>04</w:t>
      </w:r>
      <w:r>
        <w:rPr>
          <w:rFonts w:hint="eastAsia" w:ascii="仿宋_GB2312" w:eastAsia="仿宋_GB2312"/>
          <w:color w:val="auto"/>
          <w:sz w:val="28"/>
          <w:szCs w:val="28"/>
        </w:rPr>
        <w:t>%；城乡社区支出8448.07万元，占本年财政拨款支出</w:t>
      </w:r>
      <w:r>
        <w:rPr>
          <w:rFonts w:hint="eastAsia" w:ascii="仿宋_GB2312" w:eastAsia="仿宋_GB2312"/>
          <w:color w:val="auto"/>
          <w:sz w:val="28"/>
          <w:szCs w:val="28"/>
          <w:lang w:val="en-US" w:eastAsia="zh-CN"/>
        </w:rPr>
        <w:t>26.86</w:t>
      </w:r>
      <w:r>
        <w:rPr>
          <w:rFonts w:hint="eastAsia" w:ascii="仿宋_GB2312" w:eastAsia="仿宋_GB2312"/>
          <w:color w:val="auto"/>
          <w:sz w:val="28"/>
          <w:szCs w:val="28"/>
        </w:rPr>
        <w:t>%；农林水支出</w:t>
      </w:r>
      <w:r>
        <w:rPr>
          <w:rFonts w:hint="eastAsia" w:ascii="仿宋_GB2312" w:eastAsia="仿宋_GB2312"/>
          <w:color w:val="auto"/>
          <w:sz w:val="28"/>
          <w:szCs w:val="28"/>
          <w:lang w:val="en-US" w:eastAsia="zh-CN"/>
        </w:rPr>
        <w:t>2902.17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9.23</w:t>
      </w:r>
      <w:r>
        <w:rPr>
          <w:rFonts w:hint="eastAsia" w:ascii="仿宋_GB2312" w:eastAsia="仿宋_GB2312"/>
          <w:color w:val="auto"/>
          <w:sz w:val="28"/>
          <w:szCs w:val="28"/>
        </w:rPr>
        <w:t>%；住房保障支出</w:t>
      </w:r>
      <w:r>
        <w:rPr>
          <w:rFonts w:hint="eastAsia" w:ascii="仿宋_GB2312" w:eastAsia="仿宋_GB2312"/>
          <w:color w:val="auto"/>
          <w:sz w:val="28"/>
          <w:szCs w:val="28"/>
          <w:lang w:val="en-US" w:eastAsia="zh-CN"/>
        </w:rPr>
        <w:t>907.06万元，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2.88</w:t>
      </w:r>
      <w:r>
        <w:rPr>
          <w:rFonts w:hint="eastAsia" w:ascii="仿宋_GB2312" w:eastAsia="仿宋_GB2312"/>
          <w:color w:val="auto"/>
          <w:sz w:val="28"/>
          <w:szCs w:val="28"/>
        </w:rPr>
        <w:t>%；灾害防治及应急管理支出</w:t>
      </w:r>
      <w:r>
        <w:rPr>
          <w:rFonts w:hint="eastAsia" w:ascii="仿宋_GB2312" w:eastAsia="仿宋_GB2312"/>
          <w:color w:val="auto"/>
          <w:sz w:val="28"/>
          <w:szCs w:val="28"/>
          <w:lang w:val="en-US" w:eastAsia="zh-CN"/>
        </w:rPr>
        <w:t>289.56</w:t>
      </w:r>
      <w:r>
        <w:rPr>
          <w:rFonts w:hint="eastAsia" w:ascii="仿宋_GB2312" w:eastAsia="仿宋_GB2312"/>
          <w:color w:val="auto"/>
          <w:sz w:val="28"/>
          <w:szCs w:val="28"/>
        </w:rPr>
        <w:t>万元，占本年财政拨款支出0.</w:t>
      </w:r>
      <w:r>
        <w:rPr>
          <w:rFonts w:hint="eastAsia" w:ascii="仿宋_GB2312" w:eastAsia="仿宋_GB2312"/>
          <w:color w:val="auto"/>
          <w:sz w:val="28"/>
          <w:szCs w:val="28"/>
          <w:lang w:val="en-US" w:eastAsia="zh-CN"/>
        </w:rPr>
        <w:t>92</w:t>
      </w:r>
      <w:r>
        <w:rPr>
          <w:rFonts w:hint="eastAsia" w:ascii="仿宋_GB2312" w:eastAsia="仿宋_GB2312"/>
          <w:color w:val="auto"/>
          <w:sz w:val="28"/>
          <w:szCs w:val="28"/>
        </w:rPr>
        <w:t>%；其他支出</w:t>
      </w:r>
      <w:r>
        <w:rPr>
          <w:rFonts w:hint="eastAsia" w:ascii="仿宋_GB2312" w:eastAsia="仿宋_GB2312"/>
          <w:color w:val="auto"/>
          <w:sz w:val="28"/>
          <w:szCs w:val="28"/>
          <w:lang w:val="en-US" w:eastAsia="zh-CN"/>
        </w:rPr>
        <w:t>4.56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0.02</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年度年初预算7306.28万元，202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年度决算6853.0</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93.8</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sz w:val="28"/>
          <w:szCs w:val="28"/>
          <w:highlight w:val="none"/>
        </w:rPr>
        <w:t>“人大事务”（款）202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年度年初预算21.1万元，202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color w:val="auto"/>
          <w:sz w:val="28"/>
          <w:szCs w:val="28"/>
          <w:highlight w:val="none"/>
        </w:rPr>
        <w:t>196.68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932.15</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val="en-US" w:eastAsia="zh-CN"/>
        </w:rPr>
        <w:t>人大事务支出增加</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rPr>
        <w:t>“政府办公厅（室）及相关机构事务”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4694.04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rPr>
        <w:t>4342.45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92.51</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主要原因：行政运行、事业运行支出</w:t>
      </w:r>
      <w:r>
        <w:rPr>
          <w:rFonts w:hint="eastAsia" w:ascii="仿宋_GB2312" w:eastAsia="仿宋_GB2312"/>
          <w:color w:val="auto"/>
          <w:sz w:val="28"/>
          <w:szCs w:val="28"/>
          <w:highlight w:val="none"/>
          <w:lang w:val="en-US" w:eastAsia="zh-CN"/>
        </w:rPr>
        <w:t>有所减少</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“统计信息事务”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4.36</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11.21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257.06</w:t>
      </w:r>
      <w:r>
        <w:rPr>
          <w:rFonts w:hint="eastAsia" w:ascii="仿宋_GB2312" w:eastAsia="仿宋_GB2312"/>
          <w:sz w:val="28"/>
          <w:szCs w:val="28"/>
          <w:highlight w:val="none"/>
        </w:rPr>
        <w:t>%。</w:t>
      </w:r>
      <w:r>
        <w:rPr>
          <w:rFonts w:hint="eastAsia" w:ascii="仿宋_GB2312" w:eastAsia="仿宋_GB2312"/>
          <w:color w:val="auto"/>
          <w:sz w:val="28"/>
          <w:szCs w:val="28"/>
        </w:rPr>
        <w:t>主要原因：统计抽样调查支出增加。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“组织事务”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1399.98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1085.87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77.56</w:t>
      </w:r>
      <w:r>
        <w:rPr>
          <w:rFonts w:hint="eastAsia" w:ascii="仿宋_GB2312" w:eastAsia="仿宋_GB2312"/>
          <w:sz w:val="28"/>
          <w:szCs w:val="28"/>
          <w:highlight w:val="none"/>
        </w:rPr>
        <w:t>%。</w:t>
      </w:r>
      <w:r>
        <w:rPr>
          <w:rFonts w:hint="eastAsia" w:ascii="仿宋_GB2312" w:eastAsia="仿宋_GB2312"/>
          <w:color w:val="auto"/>
          <w:sz w:val="28"/>
          <w:szCs w:val="28"/>
        </w:rPr>
        <w:t>主要原因：党群、党建等经费支出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其他共产党事务支出</w:t>
      </w:r>
      <w:r>
        <w:rPr>
          <w:rFonts w:hint="eastAsia" w:ascii="仿宋_GB2312" w:eastAsia="仿宋_GB2312"/>
          <w:color w:val="auto"/>
          <w:sz w:val="28"/>
          <w:szCs w:val="28"/>
          <w:highlight w:val="none"/>
          <w:u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hAnsi="Times New Roman" w:eastAsia="仿宋_GB2312" w:cs="Times New Roman"/>
          <w:color w:val="auto"/>
          <w:kern w:val="2"/>
          <w:sz w:val="28"/>
          <w:szCs w:val="28"/>
          <w:highlight w:val="none"/>
          <w:lang w:val="en-US" w:eastAsia="zh-CN" w:bidi="ar-SA"/>
        </w:rPr>
        <w:t>“社会工作事务”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11.71</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default"/>
          <w:highlight w:val="none"/>
          <w:lang w:val="en-US" w:eastAsia="zh-CN"/>
        </w:rPr>
      </w:pPr>
      <w:r>
        <w:rPr>
          <w:rFonts w:hint="eastAsia" w:ascii="仿宋_GB2312" w:eastAsia="仿宋_GB2312"/>
          <w:color w:val="auto"/>
          <w:sz w:val="28"/>
          <w:szCs w:val="28"/>
          <w:highlight w:val="none"/>
          <w:u w:val="none"/>
        </w:rPr>
        <w:t>“其他一般公共服务支出”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1182.8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1201.11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101.55</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项目经费支出增加。</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660.77</w:t>
      </w:r>
      <w:r>
        <w:rPr>
          <w:rFonts w:hint="eastAsia" w:ascii="仿宋_GB2312" w:eastAsia="仿宋_GB2312"/>
          <w:sz w:val="28"/>
          <w:szCs w:val="28"/>
          <w:highlight w:val="none"/>
        </w:rPr>
        <w:t>万元。其中：</w:t>
      </w:r>
      <w:r>
        <w:rPr>
          <w:rFonts w:hint="eastAsia" w:ascii="仿宋_GB2312" w:eastAsia="仿宋_GB2312"/>
          <w:sz w:val="28"/>
          <w:szCs w:val="28"/>
          <w:highlight w:val="none"/>
          <w:lang w:val="en-US" w:eastAsia="zh-CN"/>
        </w:rPr>
        <w:t xml:space="preserve"> </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640.94</w:t>
      </w:r>
      <w:r>
        <w:rPr>
          <w:rFonts w:hint="eastAsia" w:ascii="仿宋_GB2312" w:eastAsia="仿宋_GB2312"/>
          <w:sz w:val="28"/>
          <w:szCs w:val="28"/>
          <w:highlight w:val="none"/>
        </w:rPr>
        <w:t>万元。主要原因：学校有关支出增加。</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成人教育</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19.83</w:t>
      </w:r>
      <w:r>
        <w:rPr>
          <w:rFonts w:hint="eastAsia" w:ascii="仿宋_GB2312" w:eastAsia="仿宋_GB2312"/>
          <w:sz w:val="28"/>
          <w:szCs w:val="28"/>
          <w:highlight w:val="none"/>
        </w:rPr>
        <w:t>万元。主要原因：学校有关支出增加。</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“文化旅游体育与传媒支出”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393.5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264.89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67.32</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pPr>
        <w:spacing w:line="560" w:lineRule="exact"/>
        <w:ind w:firstLine="420" w:firstLineChars="15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“文化和旅游”（款）2024年度年初预算</w:t>
      </w:r>
      <w:r>
        <w:rPr>
          <w:rFonts w:hint="eastAsia" w:ascii="仿宋_GB2312" w:eastAsia="仿宋_GB2312"/>
          <w:color w:val="auto"/>
          <w:sz w:val="28"/>
          <w:szCs w:val="28"/>
          <w:highlight w:val="none"/>
          <w:lang w:val="en-US" w:eastAsia="zh-CN"/>
        </w:rPr>
        <w:t>283.5</w:t>
      </w:r>
      <w:r>
        <w:rPr>
          <w:rFonts w:hint="eastAsia" w:ascii="仿宋_GB2312" w:eastAsia="仿宋_GB2312"/>
          <w:color w:val="auto"/>
          <w:sz w:val="28"/>
          <w:szCs w:val="28"/>
          <w:highlight w:val="none"/>
        </w:rPr>
        <w:t>万元，2024年度决算</w:t>
      </w:r>
      <w:r>
        <w:rPr>
          <w:rFonts w:hint="eastAsia" w:ascii="仿宋_GB2312" w:eastAsia="仿宋_GB2312"/>
          <w:color w:val="auto"/>
          <w:sz w:val="28"/>
          <w:szCs w:val="28"/>
          <w:highlight w:val="none"/>
          <w:lang w:val="en-US" w:eastAsia="zh-CN"/>
        </w:rPr>
        <w:t>150.34</w:t>
      </w:r>
      <w:r>
        <w:rPr>
          <w:rFonts w:hint="eastAsia" w:ascii="仿宋_GB2312" w:eastAsia="仿宋_GB2312"/>
          <w:color w:val="auto"/>
          <w:sz w:val="28"/>
          <w:szCs w:val="28"/>
          <w:highlight w:val="none"/>
        </w:rPr>
        <w:t>万元，完成年初预算的</w:t>
      </w:r>
      <w:r>
        <w:rPr>
          <w:rFonts w:hint="eastAsia" w:ascii="仿宋_GB2312" w:eastAsia="仿宋_GB2312"/>
          <w:color w:val="auto"/>
          <w:sz w:val="28"/>
          <w:szCs w:val="28"/>
          <w:highlight w:val="none"/>
          <w:lang w:val="en-US" w:eastAsia="zh-CN"/>
        </w:rPr>
        <w:t>53.03</w:t>
      </w:r>
      <w:r>
        <w:rPr>
          <w:rFonts w:hint="eastAsia" w:ascii="仿宋_GB2312" w:eastAsia="仿宋_GB2312"/>
          <w:color w:val="auto"/>
          <w:sz w:val="28"/>
          <w:szCs w:val="28"/>
          <w:highlight w:val="none"/>
        </w:rPr>
        <w:t>%。主要原因：文体经费支出</w:t>
      </w:r>
      <w:r>
        <w:rPr>
          <w:rFonts w:hint="eastAsia" w:ascii="仿宋_GB2312" w:eastAsia="仿宋_GB2312"/>
          <w:color w:val="auto"/>
          <w:sz w:val="28"/>
          <w:szCs w:val="28"/>
          <w:highlight w:val="none"/>
          <w:lang w:val="en-US" w:eastAsia="zh-CN"/>
        </w:rPr>
        <w:t>减少</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highlight w:val="none"/>
        </w:rPr>
        <w:t>“其他文化旅游体育与传媒支出”（</w:t>
      </w:r>
      <w:r>
        <w:rPr>
          <w:rFonts w:hint="eastAsia" w:ascii="仿宋_GB2312" w:eastAsia="仿宋_GB2312"/>
          <w:color w:val="auto"/>
          <w:sz w:val="28"/>
          <w:szCs w:val="28"/>
        </w:rPr>
        <w:t>款）2024年度年初预算</w:t>
      </w:r>
      <w:r>
        <w:rPr>
          <w:rFonts w:hint="eastAsia" w:ascii="仿宋_GB2312" w:eastAsia="仿宋_GB2312"/>
          <w:color w:val="auto"/>
          <w:sz w:val="28"/>
          <w:szCs w:val="28"/>
          <w:lang w:val="en-US" w:eastAsia="zh-CN"/>
        </w:rPr>
        <w:t>110</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114.55</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104.14</w:t>
      </w:r>
      <w:r>
        <w:rPr>
          <w:rFonts w:hint="eastAsia" w:ascii="仿宋_GB2312" w:eastAsia="仿宋_GB2312"/>
          <w:color w:val="auto"/>
          <w:sz w:val="28"/>
          <w:szCs w:val="28"/>
        </w:rPr>
        <w:t>%。主要原因：文化活动、其他文化支出增加。</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w:t>
      </w:r>
      <w:r>
        <w:rPr>
          <w:rFonts w:hint="eastAsia" w:ascii="仿宋_GB2312" w:eastAsia="仿宋_GB2312"/>
          <w:color w:val="auto"/>
          <w:sz w:val="28"/>
          <w:szCs w:val="28"/>
        </w:rPr>
        <w:t>“社会保障和就业支出”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5007.93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4793.22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95.71</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“民政管理事务”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3286.72</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3311.19</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100.74</w:t>
      </w:r>
      <w:r>
        <w:rPr>
          <w:rFonts w:hint="eastAsia" w:ascii="仿宋_GB2312" w:eastAsia="仿宋_GB2312"/>
          <w:sz w:val="28"/>
          <w:szCs w:val="28"/>
          <w:highlight w:val="none"/>
        </w:rPr>
        <w:t>%。</w:t>
      </w:r>
    </w:p>
    <w:p>
      <w:pPr>
        <w:tabs>
          <w:tab w:val="left" w:pos="369"/>
        </w:tabs>
        <w:spacing w:line="560" w:lineRule="exact"/>
        <w:rPr>
          <w:rFonts w:hint="eastAsia" w:ascii="仿宋_GB2312" w:eastAsia="仿宋_GB2312"/>
          <w:color w:val="auto"/>
          <w:sz w:val="28"/>
          <w:szCs w:val="28"/>
        </w:rPr>
      </w:pPr>
      <w:r>
        <w:rPr>
          <w:rFonts w:hint="eastAsia" w:ascii="仿宋_GB2312" w:eastAsia="仿宋_GB2312"/>
          <w:color w:val="auto"/>
          <w:sz w:val="28"/>
          <w:szCs w:val="28"/>
        </w:rPr>
        <w:t>主要原因：社区及民政相关支出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1057.51</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1075.31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101.68</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在职</w:t>
      </w:r>
      <w:r>
        <w:rPr>
          <w:rFonts w:hint="eastAsia" w:ascii="仿宋_GB2312" w:eastAsia="仿宋_GB2312"/>
          <w:color w:val="auto"/>
          <w:sz w:val="28"/>
          <w:szCs w:val="28"/>
          <w:u w:val="none"/>
        </w:rPr>
        <w:t>人员</w:t>
      </w:r>
      <w:r>
        <w:rPr>
          <w:rFonts w:hint="eastAsia" w:ascii="仿宋_GB2312" w:eastAsia="仿宋_GB2312"/>
          <w:color w:val="auto"/>
          <w:sz w:val="28"/>
          <w:szCs w:val="28"/>
          <w:u w:val="none"/>
          <w:lang w:val="en-US" w:eastAsia="zh-CN"/>
        </w:rPr>
        <w:t>社会保障缴费</w:t>
      </w:r>
      <w:r>
        <w:rPr>
          <w:rFonts w:hint="eastAsia" w:ascii="仿宋_GB2312" w:eastAsia="仿宋_GB2312"/>
          <w:color w:val="auto"/>
          <w:sz w:val="28"/>
          <w:szCs w:val="28"/>
          <w:u w:val="none"/>
        </w:rPr>
        <w:t>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“就业补助”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249</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90.85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36.49</w:t>
      </w:r>
      <w:r>
        <w:rPr>
          <w:rFonts w:hint="eastAsia" w:ascii="仿宋_GB2312" w:eastAsia="仿宋_GB2312"/>
          <w:sz w:val="28"/>
          <w:szCs w:val="28"/>
          <w:highlight w:val="none"/>
        </w:rPr>
        <w:t>%。</w:t>
      </w:r>
      <w:r>
        <w:rPr>
          <w:rFonts w:hint="eastAsia" w:ascii="仿宋_GB2312" w:eastAsia="仿宋_GB2312"/>
          <w:color w:val="auto"/>
          <w:sz w:val="28"/>
          <w:szCs w:val="28"/>
        </w:rPr>
        <w:t>主要原因：就业补助支出减少。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“抚恤”</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148.78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114.56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77</w:t>
      </w:r>
      <w:r>
        <w:rPr>
          <w:rFonts w:hint="eastAsia" w:ascii="仿宋_GB2312" w:eastAsia="仿宋_GB2312"/>
          <w:sz w:val="28"/>
          <w:szCs w:val="28"/>
          <w:highlight w:val="none"/>
        </w:rPr>
        <w:t>%。</w:t>
      </w:r>
      <w:r>
        <w:rPr>
          <w:rFonts w:hint="eastAsia" w:ascii="仿宋_GB2312" w:eastAsia="仿宋_GB2312"/>
          <w:color w:val="auto"/>
          <w:sz w:val="28"/>
          <w:szCs w:val="28"/>
        </w:rPr>
        <w:t>主要原因：优抚相关支出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rPr>
        <w:t>“社会福利”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23.5</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“残疾人事业”</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194.7</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139.68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71.74</w:t>
      </w:r>
      <w:r>
        <w:rPr>
          <w:rFonts w:hint="eastAsia" w:ascii="仿宋_GB2312" w:eastAsia="仿宋_GB2312"/>
          <w:sz w:val="28"/>
          <w:szCs w:val="28"/>
          <w:highlight w:val="none"/>
        </w:rPr>
        <w:t>%。</w:t>
      </w:r>
      <w:r>
        <w:rPr>
          <w:rFonts w:hint="eastAsia" w:ascii="仿宋_GB2312" w:eastAsia="仿宋_GB2312"/>
          <w:color w:val="auto"/>
          <w:sz w:val="28"/>
          <w:szCs w:val="28"/>
        </w:rPr>
        <w:t>主要原因：其他残疾人事业支出减少。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“最低生活保障”</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13.5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3.55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26.28</w:t>
      </w:r>
      <w:r>
        <w:rPr>
          <w:rFonts w:hint="eastAsia" w:ascii="仿宋_GB2312" w:eastAsia="仿宋_GB2312"/>
          <w:sz w:val="28"/>
          <w:szCs w:val="28"/>
          <w:highlight w:val="none"/>
        </w:rPr>
        <w:t>%。</w:t>
      </w:r>
      <w:r>
        <w:rPr>
          <w:rFonts w:hint="eastAsia" w:ascii="仿宋_GB2312" w:eastAsia="仿宋_GB2312"/>
          <w:color w:val="auto"/>
          <w:sz w:val="28"/>
          <w:szCs w:val="28"/>
        </w:rPr>
        <w:t>主要原因：社救对象补助支出减少。</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“其他社会保障和就业支出”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47.42</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34.57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72.91</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主要原因：社保相关支出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5118.16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5370.71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104.93</w:t>
      </w:r>
      <w:r>
        <w:rPr>
          <w:rFonts w:hint="eastAsia" w:ascii="仿宋_GB2312" w:eastAsia="仿宋_GB2312"/>
          <w:sz w:val="28"/>
          <w:szCs w:val="28"/>
          <w:highlight w:val="none"/>
        </w:rPr>
        <w:t>%。</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“基层医疗卫生机构”</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2203.37</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2169.64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98.47</w:t>
      </w:r>
      <w:r>
        <w:rPr>
          <w:rFonts w:hint="eastAsia" w:ascii="仿宋_GB2312" w:eastAsia="仿宋_GB2312"/>
          <w:sz w:val="28"/>
          <w:szCs w:val="28"/>
          <w:highlight w:val="none"/>
        </w:rPr>
        <w:t>%。</w:t>
      </w:r>
      <w:r>
        <w:rPr>
          <w:rFonts w:hint="eastAsia" w:ascii="仿宋_GB2312" w:eastAsia="仿宋_GB2312"/>
          <w:color w:val="auto"/>
          <w:sz w:val="28"/>
          <w:szCs w:val="28"/>
        </w:rPr>
        <w:t>主要原因：卫生院人员及项目支出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“公共卫生”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1892.58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42169.44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114.63</w:t>
      </w:r>
      <w:r>
        <w:rPr>
          <w:rFonts w:hint="eastAsia" w:ascii="仿宋_GB2312" w:eastAsia="仿宋_GB2312"/>
          <w:sz w:val="28"/>
          <w:szCs w:val="28"/>
          <w:highlight w:val="none"/>
        </w:rPr>
        <w:t>%。</w:t>
      </w:r>
      <w:r>
        <w:rPr>
          <w:rFonts w:hint="eastAsia" w:ascii="仿宋_GB2312" w:eastAsia="仿宋_GB2312"/>
          <w:color w:val="auto"/>
          <w:sz w:val="28"/>
          <w:szCs w:val="28"/>
        </w:rPr>
        <w:t>主要原因：突发公共卫生事件应急处理支出增加。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“计划生育事务”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169.54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171.43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101.11</w:t>
      </w:r>
      <w:r>
        <w:rPr>
          <w:rFonts w:hint="eastAsia" w:ascii="仿宋_GB2312" w:eastAsia="仿宋_GB2312"/>
          <w:sz w:val="28"/>
          <w:szCs w:val="28"/>
          <w:highlight w:val="none"/>
        </w:rPr>
        <w:t>%。</w:t>
      </w:r>
      <w:r>
        <w:rPr>
          <w:rFonts w:hint="eastAsia" w:ascii="仿宋_GB2312" w:eastAsia="仿宋_GB2312"/>
          <w:color w:val="auto"/>
          <w:sz w:val="28"/>
          <w:szCs w:val="28"/>
        </w:rPr>
        <w:t>主要原因：计划生育项目支出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“行政事业单位医疗”</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807.45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820.08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101.56</w:t>
      </w:r>
      <w:r>
        <w:rPr>
          <w:rFonts w:hint="eastAsia" w:ascii="仿宋_GB2312" w:eastAsia="仿宋_GB2312"/>
          <w:sz w:val="28"/>
          <w:szCs w:val="28"/>
          <w:highlight w:val="none"/>
        </w:rPr>
        <w:t>%。</w:t>
      </w:r>
      <w:r>
        <w:rPr>
          <w:rFonts w:hint="eastAsia" w:ascii="仿宋_GB2312" w:eastAsia="仿宋_GB2312"/>
          <w:color w:val="auto"/>
          <w:sz w:val="28"/>
          <w:szCs w:val="28"/>
        </w:rPr>
        <w:t>主要原因：行政事业单位医疗保障支出增加。</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“优抚对象医疗”</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0.5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spacing w:line="560" w:lineRule="exact"/>
        <w:ind w:firstLine="420" w:firstLineChars="150"/>
        <w:rPr>
          <w:rFonts w:hint="default" w:ascii="仿宋_GB2312" w:hAnsi="Times New Roman" w:eastAsia="仿宋_GB2312" w:cs="Times New Roman"/>
          <w:color w:val="auto"/>
          <w:kern w:val="2"/>
          <w:sz w:val="28"/>
          <w:szCs w:val="28"/>
          <w:u w:val="none"/>
          <w:lang w:val="en-US" w:eastAsia="zh-CN" w:bidi="ar-SA"/>
        </w:rPr>
      </w:pPr>
      <w:r>
        <w:rPr>
          <w:rFonts w:hint="eastAsia" w:ascii="仿宋_GB2312" w:hAnsi="Times New Roman" w:eastAsia="仿宋_GB2312" w:cs="Times New Roman"/>
          <w:color w:val="auto"/>
          <w:kern w:val="2"/>
          <w:sz w:val="28"/>
          <w:szCs w:val="28"/>
          <w:lang w:val="en-US" w:eastAsia="zh-CN" w:bidi="ar-SA"/>
        </w:rPr>
        <w:t>“中医药事务”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410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4.9</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49</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主要原因：中医（民族医）药专项</w:t>
      </w:r>
      <w:r>
        <w:rPr>
          <w:rFonts w:hint="eastAsia" w:ascii="仿宋_GB2312" w:eastAsia="仿宋_GB2312"/>
          <w:color w:val="auto"/>
          <w:sz w:val="28"/>
          <w:szCs w:val="28"/>
          <w:u w:val="none"/>
          <w:lang w:val="en-US" w:eastAsia="zh-CN"/>
        </w:rPr>
        <w:t>支出减少。</w:t>
      </w:r>
    </w:p>
    <w:p>
      <w:pPr>
        <w:spacing w:line="560" w:lineRule="exact"/>
        <w:ind w:left="698" w:leftChars="266" w:hanging="140" w:hangingChars="50"/>
        <w:rPr>
          <w:rFonts w:hint="eastAsia" w:ascii="仿宋_GB2312" w:eastAsia="仿宋_GB2312"/>
          <w:sz w:val="28"/>
          <w:szCs w:val="28"/>
          <w:highlight w:val="none"/>
        </w:rPr>
      </w:pPr>
      <w:r>
        <w:rPr>
          <w:rFonts w:hint="eastAsia" w:ascii="仿宋_GB2312" w:eastAsia="仿宋_GB2312"/>
          <w:color w:val="auto"/>
          <w:sz w:val="28"/>
          <w:szCs w:val="28"/>
        </w:rPr>
        <w:t>“其他卫生健康支出”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34.72</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34.72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rPr>
        <w:t>节能环保支出”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1216.46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957.53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78.71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color w:val="auto"/>
          <w:sz w:val="28"/>
          <w:szCs w:val="28"/>
        </w:rPr>
        <w:t>其中：</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环境保护管理事务</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301</w:t>
      </w:r>
      <w:r>
        <w:rPr>
          <w:rFonts w:hint="eastAsia" w:ascii="仿宋_GB2312" w:eastAsia="仿宋_GB2312"/>
          <w:sz w:val="28"/>
          <w:szCs w:val="28"/>
          <w:highlight w:val="none"/>
        </w:rPr>
        <w:t>万元。</w:t>
      </w:r>
      <w:r>
        <w:rPr>
          <w:rFonts w:hint="eastAsia" w:ascii="仿宋_GB2312" w:eastAsia="仿宋_GB2312"/>
          <w:color w:val="auto"/>
          <w:sz w:val="28"/>
          <w:szCs w:val="28"/>
          <w:u w:val="none"/>
        </w:rPr>
        <w:t>主要原因：绿化提升</w:t>
      </w:r>
      <w:r>
        <w:rPr>
          <w:rFonts w:hint="eastAsia" w:ascii="仿宋_GB2312" w:eastAsia="仿宋_GB2312"/>
          <w:color w:val="auto"/>
          <w:sz w:val="28"/>
          <w:szCs w:val="28"/>
          <w:u w:val="none"/>
          <w:lang w:val="en-US" w:eastAsia="zh-CN"/>
        </w:rPr>
        <w:t>项目支出增加。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rPr>
        <w:t>“污染防治”（款）2024年度年初预算4</w:t>
      </w:r>
      <w:r>
        <w:rPr>
          <w:rFonts w:hint="eastAsia" w:ascii="仿宋_GB2312" w:eastAsia="仿宋_GB2312"/>
          <w:color w:val="auto"/>
          <w:sz w:val="28"/>
          <w:szCs w:val="28"/>
          <w:lang w:val="en-US" w:eastAsia="zh-CN"/>
        </w:rPr>
        <w:t>1216.46</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656.53</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53.97</w:t>
      </w:r>
      <w:r>
        <w:rPr>
          <w:rFonts w:hint="eastAsia" w:ascii="仿宋_GB2312" w:eastAsia="仿宋_GB2312"/>
          <w:color w:val="auto"/>
          <w:sz w:val="28"/>
          <w:szCs w:val="28"/>
        </w:rPr>
        <w:t>%。</w:t>
      </w:r>
      <w:r>
        <w:rPr>
          <w:rFonts w:hint="eastAsia" w:ascii="仿宋_GB2312" w:eastAsia="仿宋_GB2312"/>
          <w:color w:val="auto"/>
          <w:sz w:val="28"/>
          <w:szCs w:val="28"/>
          <w:u w:val="none"/>
        </w:rPr>
        <w:t>主要原因：污染防治</w:t>
      </w:r>
      <w:r>
        <w:rPr>
          <w:rFonts w:hint="eastAsia" w:ascii="仿宋_GB2312" w:eastAsia="仿宋_GB2312"/>
          <w:color w:val="auto"/>
          <w:sz w:val="28"/>
          <w:szCs w:val="28"/>
          <w:u w:val="none"/>
          <w:lang w:val="en-US" w:eastAsia="zh-CN"/>
        </w:rPr>
        <w:t>项目</w:t>
      </w:r>
      <w:r>
        <w:rPr>
          <w:rFonts w:hint="eastAsia" w:ascii="仿宋_GB2312" w:eastAsia="仿宋_GB2312"/>
          <w:color w:val="auto"/>
          <w:sz w:val="28"/>
          <w:szCs w:val="28"/>
          <w:u w:val="none"/>
        </w:rPr>
        <w:t>支出</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“城乡社区支出”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7825.13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8448.07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107.96</w:t>
      </w:r>
      <w:r>
        <w:rPr>
          <w:rFonts w:hint="eastAsia" w:ascii="仿宋_GB2312" w:eastAsia="仿宋_GB2312"/>
          <w:sz w:val="28"/>
          <w:szCs w:val="28"/>
          <w:highlight w:val="none"/>
        </w:rPr>
        <w:t>%。</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城乡社区管理事务</w:t>
      </w:r>
      <w:r>
        <w:rPr>
          <w:rFonts w:hint="eastAsia" w:ascii="仿宋_GB2312" w:eastAsia="仿宋_GB2312"/>
          <w:color w:val="auto"/>
          <w:sz w:val="28"/>
          <w:szCs w:val="28"/>
          <w:u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358.76</w:t>
      </w:r>
      <w:r>
        <w:rPr>
          <w:rFonts w:hint="eastAsia" w:ascii="仿宋_GB2312" w:eastAsia="仿宋_GB2312"/>
          <w:sz w:val="28"/>
          <w:szCs w:val="28"/>
          <w:highlight w:val="none"/>
        </w:rPr>
        <w:t>万元。</w:t>
      </w:r>
      <w:r>
        <w:rPr>
          <w:rFonts w:hint="eastAsia" w:ascii="仿宋_GB2312" w:eastAsia="仿宋_GB2312"/>
          <w:color w:val="auto"/>
          <w:sz w:val="28"/>
          <w:szCs w:val="28"/>
          <w:u w:val="none"/>
        </w:rPr>
        <w:t>主要原因：城乡社区管理事务</w:t>
      </w:r>
      <w:r>
        <w:rPr>
          <w:rFonts w:hint="eastAsia" w:ascii="仿宋_GB2312" w:eastAsia="仿宋_GB2312"/>
          <w:color w:val="auto"/>
          <w:sz w:val="28"/>
          <w:szCs w:val="28"/>
          <w:u w:val="none"/>
          <w:lang w:val="en-US" w:eastAsia="zh-CN"/>
        </w:rPr>
        <w:t>相关支出增加</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u w:val="none"/>
        </w:rPr>
        <w:t>“城乡社区环境卫生”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573</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574.07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100.19</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主要原因：城乡环境卫生支出</w:t>
      </w:r>
      <w:r>
        <w:rPr>
          <w:rFonts w:hint="eastAsia" w:ascii="仿宋_GB2312" w:eastAsia="仿宋_GB2312"/>
          <w:color w:val="auto"/>
          <w:sz w:val="28"/>
          <w:szCs w:val="28"/>
          <w:u w:val="none"/>
          <w:lang w:val="en-US" w:eastAsia="zh-CN"/>
        </w:rPr>
        <w:t>有所</w:t>
      </w:r>
      <w:r>
        <w:rPr>
          <w:rFonts w:hint="eastAsia" w:ascii="仿宋_GB2312" w:eastAsia="仿宋_GB2312"/>
          <w:color w:val="auto"/>
          <w:sz w:val="28"/>
          <w:szCs w:val="28"/>
          <w:u w:val="none"/>
        </w:rPr>
        <w:t>增加。</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u w:val="none"/>
        </w:rPr>
        <w:t>“其他城乡社区支出”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7252.13</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7515.24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103.63</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主要原因：绿化提升改造</w:t>
      </w:r>
      <w:r>
        <w:rPr>
          <w:rFonts w:hint="eastAsia" w:ascii="仿宋_GB2312" w:eastAsia="仿宋_GB2312"/>
          <w:color w:val="auto"/>
          <w:sz w:val="28"/>
          <w:szCs w:val="28"/>
          <w:u w:val="none"/>
          <w:lang w:val="en-US" w:eastAsia="zh-CN"/>
        </w:rPr>
        <w:t>等项目支出增加</w:t>
      </w:r>
      <w:r>
        <w:rPr>
          <w:rFonts w:hint="eastAsia" w:ascii="仿宋_GB2312" w:eastAsia="仿宋_GB2312"/>
          <w:color w:val="auto"/>
          <w:sz w:val="28"/>
          <w:szCs w:val="28"/>
          <w:u w:val="none"/>
        </w:rPr>
        <w:t>。</w:t>
      </w:r>
    </w:p>
    <w:p>
      <w:pPr>
        <w:tabs>
          <w:tab w:val="left" w:pos="503"/>
        </w:tabs>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color w:val="auto"/>
          <w:sz w:val="28"/>
          <w:szCs w:val="28"/>
          <w:u w:val="none"/>
          <w:lang w:val="en-US" w:eastAsia="zh-CN"/>
        </w:rPr>
        <w:t>8、</w:t>
      </w:r>
      <w:r>
        <w:rPr>
          <w:rFonts w:hint="eastAsia" w:ascii="仿宋_GB2312" w:eastAsia="仿宋_GB2312"/>
          <w:color w:val="auto"/>
          <w:sz w:val="28"/>
          <w:szCs w:val="28"/>
          <w:u w:val="none"/>
        </w:rPr>
        <w:t>“农林水支出”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2759.96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2902.17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105.15</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“农业农村”</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208.60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254.87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122.18</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“林业和草原”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2104.15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2222.15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105.61</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447.21</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425.14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95.07</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主要原因：水利专项资金</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9、“住房保障支出”（</w:t>
      </w:r>
      <w:r>
        <w:rPr>
          <w:rFonts w:hint="eastAsia" w:ascii="仿宋_GB2312" w:eastAsia="仿宋_GB2312"/>
          <w:sz w:val="28"/>
          <w:szCs w:val="28"/>
          <w:highlight w:val="none"/>
        </w:rPr>
        <w:t>类</w:t>
      </w:r>
      <w:r>
        <w:rPr>
          <w:rFonts w:hint="eastAsia" w:ascii="仿宋_GB2312" w:eastAsia="仿宋_GB2312"/>
          <w:color w:val="auto"/>
          <w:sz w:val="28"/>
          <w:szCs w:val="28"/>
          <w:highlight w:val="none"/>
          <w:u w:val="none"/>
          <w:lang w:val="en-US" w:eastAsia="zh-CN"/>
        </w:rPr>
        <w:t>）2024年度年初预算0万元，2024年度决算907.06万元。其中：</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“住房改革支出”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907.06</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该项目资金为2024年年初结转资金</w:t>
      </w:r>
      <w:r>
        <w:rPr>
          <w:rFonts w:hint="eastAsia" w:ascii="仿宋_GB2312" w:eastAsia="仿宋_GB2312"/>
          <w:color w:val="auto"/>
          <w:sz w:val="28"/>
          <w:szCs w:val="28"/>
          <w:highlight w:val="none"/>
          <w:u w:val="none"/>
        </w:rPr>
        <w:t>。</w:t>
      </w:r>
    </w:p>
    <w:p>
      <w:pPr>
        <w:spacing w:line="560" w:lineRule="exact"/>
        <w:ind w:firstLine="560" w:firstLineChars="20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val="en-US" w:eastAsia="zh-CN"/>
        </w:rPr>
        <w:t>10、</w:t>
      </w:r>
      <w:r>
        <w:rPr>
          <w:rFonts w:hint="eastAsia" w:ascii="仿宋_GB2312" w:eastAsia="仿宋_GB2312"/>
          <w:color w:val="auto"/>
          <w:sz w:val="28"/>
          <w:szCs w:val="28"/>
          <w:highlight w:val="none"/>
          <w:u w:val="none"/>
        </w:rPr>
        <w:t>“灾害防治及应急管理支出”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348.88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289.56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83</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其中：</w:t>
      </w:r>
    </w:p>
    <w:p>
      <w:pPr>
        <w:spacing w:line="560" w:lineRule="exact"/>
        <w:ind w:firstLine="420" w:firstLineChars="15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rPr>
        <w:t>“应急管理事务”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348.88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289.56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83</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主要原因：安全员经费支出减少。</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val="en-US" w:eastAsia="zh-CN"/>
        </w:rPr>
        <w:t>11、</w:t>
      </w:r>
      <w:r>
        <w:rPr>
          <w:rFonts w:hint="eastAsia" w:ascii="仿宋_GB2312" w:eastAsia="仿宋_GB2312"/>
          <w:color w:val="auto"/>
          <w:sz w:val="28"/>
          <w:szCs w:val="28"/>
          <w:highlight w:val="none"/>
          <w:u w:val="none"/>
        </w:rPr>
        <w:t>“其他支出”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2.07</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其中：</w:t>
      </w:r>
    </w:p>
    <w:p>
      <w:pPr>
        <w:spacing w:line="560" w:lineRule="exact"/>
        <w:ind w:firstLine="420" w:firstLineChars="150"/>
        <w:rPr>
          <w:rFonts w:hint="eastAsia"/>
        </w:rPr>
      </w:pPr>
      <w:r>
        <w:rPr>
          <w:rFonts w:hint="eastAsia" w:ascii="仿宋_GB2312" w:eastAsia="仿宋_GB2312"/>
          <w:color w:val="auto"/>
          <w:sz w:val="28"/>
          <w:szCs w:val="28"/>
          <w:highlight w:val="none"/>
          <w:u w:val="none"/>
        </w:rPr>
        <w:t>“其他支出”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220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2.07</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其他支出减少。</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11173.71</w:t>
      </w:r>
      <w:r>
        <w:rPr>
          <w:rFonts w:hint="eastAsia" w:ascii="仿宋_GB2312" w:eastAsia="仿宋_GB2312"/>
          <w:sz w:val="28"/>
          <w:szCs w:val="28"/>
        </w:rPr>
        <w:t>万元，</w:t>
      </w:r>
      <w:r>
        <w:rPr>
          <w:rFonts w:hint="eastAsia" w:ascii="仿宋_GB2312" w:eastAsia="仿宋_GB2312"/>
          <w:color w:val="auto"/>
          <w:sz w:val="28"/>
          <w:szCs w:val="28"/>
        </w:rPr>
        <w:t>主要用于以下方面：城乡社区支出11173.7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26.21</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2433.49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11173.71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459.16</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国有土地使用权出让收入安排的支出</w:t>
      </w:r>
      <w:r>
        <w:rPr>
          <w:rFonts w:hint="eastAsia" w:ascii="仿宋_GB2312" w:eastAsia="仿宋_GB2312"/>
          <w:color w:val="auto"/>
          <w:sz w:val="28"/>
          <w:szCs w:val="28"/>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2433.49</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10973.17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450.92</w:t>
      </w:r>
      <w:r>
        <w:rPr>
          <w:rFonts w:hint="eastAsia" w:ascii="仿宋_GB2312" w:eastAsia="仿宋_GB2312"/>
          <w:sz w:val="28"/>
          <w:szCs w:val="28"/>
          <w:highlight w:val="none"/>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政府性基金专项支出增加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sz w:val="28"/>
          <w:szCs w:val="28"/>
          <w:highlight w:val="yellow"/>
        </w:rPr>
      </w:pPr>
      <w:r>
        <w:rPr>
          <w:rFonts w:hint="eastAsia" w:ascii="仿宋_GB2312" w:eastAsia="仿宋_GB2312"/>
          <w:color w:val="auto"/>
          <w:sz w:val="28"/>
          <w:szCs w:val="28"/>
        </w:rPr>
        <w:t>“城市基础设施配套费安排的支出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200.53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color w:val="auto"/>
          <w:sz w:val="28"/>
          <w:szCs w:val="28"/>
        </w:rPr>
        <w:t>主要原因：城市基础设施</w:t>
      </w:r>
      <w:r>
        <w:rPr>
          <w:rFonts w:hint="eastAsia" w:ascii="仿宋_GB2312" w:eastAsia="仿宋_GB2312"/>
          <w:color w:val="auto"/>
          <w:sz w:val="28"/>
          <w:szCs w:val="28"/>
          <w:lang w:val="en-US" w:eastAsia="zh-CN"/>
        </w:rPr>
        <w:t>有关项目支出增加</w:t>
      </w:r>
      <w:r>
        <w:rPr>
          <w:rFonts w:hint="eastAsia" w:ascii="仿宋_GB2312" w:eastAsia="仿宋_GB2312"/>
          <w:color w:val="auto"/>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8874.22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36.3</w:t>
      </w:r>
      <w:r>
        <w:rPr>
          <w:rFonts w:hint="eastAsia" w:ascii="仿宋_GB2312" w:eastAsia="仿宋_GB2312"/>
          <w:sz w:val="28"/>
          <w:szCs w:val="28"/>
        </w:rPr>
        <w:t>万元减少</w:t>
      </w:r>
      <w:r>
        <w:rPr>
          <w:rFonts w:hint="eastAsia" w:ascii="仿宋_GB2312" w:eastAsia="仿宋_GB2312"/>
          <w:color w:val="auto"/>
          <w:sz w:val="28"/>
          <w:szCs w:val="28"/>
          <w:lang w:val="en-US" w:eastAsia="zh-CN"/>
        </w:rPr>
        <w:t>29.93</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color w:val="auto"/>
          <w:sz w:val="28"/>
          <w:szCs w:val="28"/>
        </w:rPr>
        <w:t>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w:t>
      </w:r>
      <w:r>
        <w:rPr>
          <w:rFonts w:hint="eastAsia" w:ascii="仿宋_GB2312" w:eastAsia="仿宋_GB2312"/>
          <w:sz w:val="28"/>
          <w:szCs w:val="28"/>
        </w:rPr>
        <w:t>主要原因：</w:t>
      </w:r>
      <w:r>
        <w:rPr>
          <w:rFonts w:hint="eastAsia" w:ascii="仿宋_GB2312" w:eastAsia="仿宋_GB2312"/>
          <w:color w:val="auto"/>
          <w:sz w:val="28"/>
          <w:szCs w:val="28"/>
        </w:rPr>
        <w:t>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年度无因公出国（境）费用支出。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color w:val="auto"/>
          <w:sz w:val="28"/>
          <w:szCs w:val="28"/>
        </w:rPr>
        <w:t>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w:t>
      </w:r>
      <w:r>
        <w:rPr>
          <w:rFonts w:hint="eastAsia" w:ascii="仿宋_GB2312" w:eastAsia="仿宋_GB2312"/>
          <w:sz w:val="28"/>
          <w:szCs w:val="28"/>
        </w:rPr>
        <w:t>主要原因：</w:t>
      </w:r>
      <w:r>
        <w:rPr>
          <w:rFonts w:hint="eastAsia" w:ascii="仿宋_GB2312" w:eastAsia="仿宋_GB2312"/>
          <w:color w:val="auto"/>
          <w:sz w:val="28"/>
          <w:szCs w:val="28"/>
        </w:rPr>
        <w:t>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年度无公务接待费支出。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auto"/>
          <w:sz w:val="28"/>
          <w:szCs w:val="28"/>
        </w:rPr>
        <w:t>36.3</w:t>
      </w:r>
      <w:r>
        <w:rPr>
          <w:rFonts w:hint="eastAsia" w:ascii="仿宋_GB2312" w:eastAsia="仿宋_GB2312"/>
          <w:sz w:val="28"/>
          <w:szCs w:val="28"/>
        </w:rPr>
        <w:t>万元</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29.93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本部门</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未</w:t>
      </w:r>
      <w:r>
        <w:rPr>
          <w:rFonts w:hint="eastAsia" w:ascii="仿宋_GB2312" w:eastAsia="仿宋_GB2312"/>
          <w:color w:val="auto"/>
          <w:sz w:val="28"/>
          <w:szCs w:val="28"/>
        </w:rPr>
        <w:t>购置</w:t>
      </w:r>
      <w:r>
        <w:rPr>
          <w:rFonts w:hint="eastAsia" w:ascii="仿宋_GB2312" w:eastAsia="仿宋_GB2312"/>
          <w:color w:val="auto"/>
          <w:sz w:val="28"/>
          <w:szCs w:val="28"/>
          <w:lang w:val="en-US" w:eastAsia="zh-CN"/>
        </w:rPr>
        <w:t>公车</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sz w:val="28"/>
          <w:szCs w:val="28"/>
        </w:rPr>
        <w:t>万元，主要原因：</w:t>
      </w:r>
      <w:r>
        <w:rPr>
          <w:rFonts w:hint="eastAsia" w:ascii="仿宋_GB2312" w:eastAsia="仿宋_GB2312"/>
          <w:sz w:val="28"/>
          <w:szCs w:val="28"/>
          <w:lang w:val="en-US" w:eastAsia="zh-CN"/>
        </w:rPr>
        <w:t>厉行节约，严控“三公”经费支出，压缩公务用车运行维护费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机关运行经费</w:t>
      </w:r>
      <w:r>
        <w:rPr>
          <w:rFonts w:hint="eastAsia" w:ascii="仿宋_GB2312" w:eastAsia="仿宋_GB2312"/>
          <w:sz w:val="28"/>
          <w:szCs w:val="28"/>
          <w:highlight w:val="none"/>
        </w:rPr>
        <w:t>支出合计</w:t>
      </w:r>
      <w:r>
        <w:rPr>
          <w:rFonts w:hint="eastAsia" w:ascii="仿宋_GB2312" w:eastAsia="仿宋_GB2312"/>
          <w:sz w:val="28"/>
          <w:szCs w:val="28"/>
          <w:highlight w:val="none"/>
          <w:lang w:val="en-US" w:eastAsia="zh-CN"/>
        </w:rPr>
        <w:t>367.43</w:t>
      </w:r>
      <w:r>
        <w:rPr>
          <w:rFonts w:hint="eastAsia" w:ascii="仿宋_GB2312" w:eastAsia="仿宋_GB2312"/>
          <w:sz w:val="28"/>
          <w:szCs w:val="28"/>
          <w:highlight w:val="none"/>
        </w:rPr>
        <w:t>万元，比上年增加</w:t>
      </w:r>
      <w:r>
        <w:rPr>
          <w:rFonts w:hint="eastAsia" w:ascii="仿宋_GB2312" w:eastAsia="仿宋_GB2312"/>
          <w:sz w:val="28"/>
          <w:szCs w:val="28"/>
          <w:highlight w:val="none"/>
          <w:lang w:val="en-US" w:eastAsia="zh-CN"/>
        </w:rPr>
        <w:t>61.01</w:t>
      </w:r>
      <w:r>
        <w:rPr>
          <w:rFonts w:hint="eastAsia" w:ascii="仿宋_GB2312" w:eastAsia="仿宋_GB2312"/>
          <w:sz w:val="28"/>
          <w:szCs w:val="28"/>
          <w:highlight w:val="none"/>
        </w:rPr>
        <w:t>万元，增加原因：</w:t>
      </w:r>
      <w:bookmarkStart w:id="50" w:name="_GoBack"/>
      <w:bookmarkEnd w:id="50"/>
      <w:r>
        <w:rPr>
          <w:rFonts w:hint="eastAsia" w:ascii="仿宋_GB2312" w:eastAsia="仿宋_GB2312"/>
          <w:sz w:val="28"/>
          <w:szCs w:val="28"/>
          <w:highlight w:val="none"/>
          <w:lang w:val="en-US" w:eastAsia="zh-CN"/>
        </w:rPr>
        <w:t>公用经费增加</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12391.06</w:t>
      </w:r>
      <w:r>
        <w:rPr>
          <w:rFonts w:hint="eastAsia" w:ascii="仿宋_GB2312" w:eastAsia="仿宋_GB2312"/>
          <w:sz w:val="28"/>
          <w:szCs w:val="28"/>
        </w:rPr>
        <w:t>万元，其中：政府采购货物支出</w:t>
      </w:r>
      <w:r>
        <w:rPr>
          <w:rFonts w:hint="eastAsia" w:ascii="仿宋_GB2312" w:eastAsia="仿宋_GB2312"/>
          <w:color w:val="auto"/>
          <w:sz w:val="28"/>
          <w:szCs w:val="28"/>
          <w:highlight w:val="none"/>
        </w:rPr>
        <w:t>2366.53</w:t>
      </w:r>
      <w:r>
        <w:rPr>
          <w:rFonts w:hint="eastAsia" w:ascii="仿宋_GB2312" w:eastAsia="仿宋_GB2312"/>
          <w:sz w:val="28"/>
          <w:szCs w:val="28"/>
        </w:rPr>
        <w:t>万元，政府采购工程支出</w:t>
      </w:r>
      <w:r>
        <w:rPr>
          <w:rFonts w:hint="eastAsia" w:ascii="仿宋_GB2312" w:eastAsia="仿宋_GB2312"/>
          <w:color w:val="auto"/>
          <w:sz w:val="28"/>
          <w:szCs w:val="28"/>
          <w:highlight w:val="none"/>
        </w:rPr>
        <w:t>4349.5</w:t>
      </w:r>
      <w:r>
        <w:rPr>
          <w:rFonts w:hint="eastAsia" w:ascii="仿宋_GB2312" w:eastAsia="仿宋_GB2312"/>
          <w:color w:val="auto"/>
          <w:sz w:val="28"/>
          <w:szCs w:val="28"/>
          <w:highlight w:val="none"/>
          <w:lang w:val="en-US" w:eastAsia="zh-CN"/>
        </w:rPr>
        <w:t>4</w:t>
      </w:r>
      <w:r>
        <w:rPr>
          <w:rFonts w:hint="eastAsia" w:ascii="仿宋_GB2312" w:eastAsia="仿宋_GB2312"/>
          <w:sz w:val="28"/>
          <w:szCs w:val="28"/>
        </w:rPr>
        <w:t>万元，政府采购服务支出</w:t>
      </w:r>
      <w:r>
        <w:rPr>
          <w:rFonts w:hint="eastAsia" w:ascii="仿宋_GB2312" w:eastAsia="仿宋_GB2312"/>
          <w:color w:val="auto"/>
          <w:sz w:val="28"/>
          <w:szCs w:val="28"/>
          <w:highlight w:val="none"/>
        </w:rPr>
        <w:t>5674.9</w:t>
      </w:r>
      <w:r>
        <w:rPr>
          <w:rFonts w:hint="eastAsia" w:ascii="仿宋_GB2312" w:eastAsia="仿宋_GB2312"/>
          <w:color w:val="auto"/>
          <w:sz w:val="28"/>
          <w:szCs w:val="28"/>
          <w:highlight w:val="none"/>
          <w:lang w:val="en-US" w:eastAsia="zh-CN"/>
        </w:rPr>
        <w:t>9</w:t>
      </w:r>
      <w:r>
        <w:rPr>
          <w:rFonts w:hint="eastAsia" w:ascii="仿宋_GB2312" w:eastAsia="仿宋_GB2312"/>
          <w:sz w:val="28"/>
          <w:szCs w:val="28"/>
        </w:rPr>
        <w:t>万元。授予中小企业合同金额</w:t>
      </w:r>
      <w:r>
        <w:rPr>
          <w:rFonts w:ascii="仿宋_GB2312" w:eastAsia="仿宋_GB2312"/>
          <w:sz w:val="28"/>
          <w:szCs w:val="28"/>
        </w:rPr>
        <w:t>6234.15</w:t>
      </w:r>
      <w:r>
        <w:rPr>
          <w:rFonts w:hint="eastAsia" w:ascii="仿宋_GB2312" w:eastAsia="仿宋_GB2312"/>
          <w:sz w:val="28"/>
          <w:szCs w:val="28"/>
        </w:rPr>
        <w:t>万元，占政府采购支出总额的</w:t>
      </w:r>
      <w:r>
        <w:rPr>
          <w:rFonts w:hint="eastAsia" w:ascii="仿宋_GB2312" w:eastAsia="仿宋_GB2312"/>
          <w:sz w:val="28"/>
          <w:szCs w:val="28"/>
          <w:lang w:eastAsia="zh-CN"/>
        </w:rPr>
        <w:t>50.31</w:t>
      </w:r>
      <w:r>
        <w:rPr>
          <w:rFonts w:hint="eastAsia" w:ascii="仿宋_GB2312" w:eastAsia="仿宋_GB2312"/>
          <w:sz w:val="28"/>
          <w:szCs w:val="28"/>
        </w:rPr>
        <w:t>%，其中：授予小微企业合同金额</w:t>
      </w:r>
      <w:r>
        <w:rPr>
          <w:rFonts w:ascii="仿宋_GB2312" w:eastAsia="仿宋_GB2312"/>
          <w:sz w:val="28"/>
          <w:szCs w:val="28"/>
        </w:rPr>
        <w:t>5657.32</w:t>
      </w:r>
      <w:r>
        <w:rPr>
          <w:rFonts w:hint="eastAsia" w:ascii="仿宋_GB2312" w:eastAsia="仿宋_GB2312"/>
          <w:sz w:val="28"/>
          <w:szCs w:val="28"/>
        </w:rPr>
        <w:t>万元，占政府采购支出总额的</w:t>
      </w:r>
      <w:r>
        <w:rPr>
          <w:rFonts w:ascii="仿宋_GB2312" w:eastAsia="仿宋_GB2312"/>
          <w:sz w:val="28"/>
          <w:szCs w:val="28"/>
        </w:rPr>
        <w:t>45.66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政府购买服务决算1087.53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支出功能分类</w:t>
      </w:r>
      <w:r>
        <w:rPr>
          <w:rFonts w:hint="eastAsia" w:ascii="仿宋_GB2312" w:eastAsia="仿宋_GB2312"/>
          <w:bCs/>
          <w:sz w:val="28"/>
          <w:szCs w:val="28"/>
        </w:rPr>
        <w:t>项级</w:t>
      </w:r>
      <w:r>
        <w:rPr>
          <w:rFonts w:hint="eastAsia" w:ascii="仿宋_GB2312" w:eastAsia="仿宋_GB2312"/>
          <w:sz w:val="28"/>
          <w:szCs w:val="28"/>
        </w:rPr>
        <w:t>科目名词解释：</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一般公共服务支出（类）人大事务（款）代表工作（项）：反映人大代表开展各类视察等方面的支出。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一般公共服务支出（类）人大事务（款）其他人大事务支出（项）：反映除上述项目以外的其他人大事务支出。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一般公共服务支出（类）政府办公厅（室）及相关机构事务（款）行政运行（项）：反映行政单位（包括实行公务员管理的事业单位）的基本支出。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一般公共服务支出（类）政府办公厅（室）及相关机构事务（款）其他政府办公厅（室）及相关机构事务支出（项）：反映除上述项目以外的其他政府办公厅（室）及相关机构事务支出。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统计信息事务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统计抽样调查</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反映统计抽样调查队开展各类统计调查工作的支出。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一般公共服务支出（类）统计信息事务（款）其他统计信息事务支出（项）：反映除上述项目以外的其他统计信息事务支出。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组织事务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其他共产党事务支出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社会工作事务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（类）其他一般公共服务支出（款）其他一般公共服务支出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反映除上述项目以外的其他一般公共服务支出。</w:t>
      </w:r>
    </w:p>
    <w:p>
      <w:pPr>
        <w:widowControl w:val="0"/>
        <w:wordWrap/>
        <w:snapToGrid/>
        <w:spacing w:line="580" w:lineRule="exact"/>
        <w:ind w:right="0" w:firstLine="560" w:firstLineChars="20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（类）普通教育（款）学前教育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反映各部门举办的学前教育支出。政府各部门对社会组织等举办的幼儿园的资助，如捐赠、补贴等，也在本科目中反映。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w:t>
      </w:r>
      <w:r>
        <w:rPr>
          <w:rFonts w:hint="eastAsia" w:ascii="仿宋_GB2312" w:eastAsia="仿宋_GB2312"/>
          <w:color w:val="auto"/>
          <w:sz w:val="28"/>
          <w:szCs w:val="28"/>
          <w:lang w:val="en-US" w:eastAsia="zh-CN"/>
        </w:rPr>
        <w:t>小学</w:t>
      </w:r>
      <w:r>
        <w:rPr>
          <w:rFonts w:hint="eastAsia" w:ascii="仿宋_GB2312" w:eastAsia="仿宋_GB2312"/>
          <w:color w:val="auto"/>
          <w:sz w:val="28"/>
          <w:szCs w:val="28"/>
        </w:rPr>
        <w:t>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反映各部门举办的小学教育支出。政府各部门对社会组织等举办的小学的资助，如捐赠、补贴等，也在本科目中反映。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w:t>
      </w:r>
      <w:r>
        <w:rPr>
          <w:rFonts w:hint="eastAsia" w:ascii="仿宋_GB2312" w:eastAsia="仿宋_GB2312"/>
          <w:color w:val="auto"/>
          <w:sz w:val="28"/>
          <w:szCs w:val="28"/>
          <w:lang w:val="en-US" w:eastAsia="zh-CN"/>
        </w:rPr>
        <w:t>初中</w:t>
      </w:r>
      <w:r>
        <w:rPr>
          <w:rFonts w:hint="eastAsia" w:ascii="仿宋_GB2312" w:eastAsia="仿宋_GB2312"/>
          <w:color w:val="auto"/>
          <w:sz w:val="28"/>
          <w:szCs w:val="28"/>
        </w:rPr>
        <w:t>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反映各部门举办的初中教育支出。政府各部门对社会组织等举办的初中的资助，如捐赠、补贴等，也在本科目中反映。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w:t>
      </w:r>
      <w:r>
        <w:rPr>
          <w:rFonts w:hint="eastAsia" w:ascii="仿宋_GB2312" w:eastAsia="仿宋_GB2312"/>
          <w:color w:val="auto"/>
          <w:sz w:val="28"/>
          <w:szCs w:val="28"/>
          <w:lang w:val="en-US" w:eastAsia="zh-CN"/>
        </w:rPr>
        <w:t>成人</w:t>
      </w:r>
      <w:r>
        <w:rPr>
          <w:rFonts w:hint="eastAsia" w:ascii="仿宋_GB2312" w:eastAsia="仿宋_GB2312"/>
          <w:color w:val="auto"/>
          <w:sz w:val="28"/>
          <w:szCs w:val="28"/>
        </w:rPr>
        <w:t>教育（款）</w:t>
      </w:r>
      <w:r>
        <w:rPr>
          <w:rFonts w:hint="eastAsia" w:ascii="仿宋_GB2312" w:eastAsia="仿宋_GB2312"/>
          <w:color w:val="auto"/>
          <w:sz w:val="28"/>
          <w:szCs w:val="28"/>
          <w:lang w:val="en-US" w:eastAsia="zh-CN"/>
        </w:rPr>
        <w:t>其他成人</w:t>
      </w:r>
      <w:r>
        <w:rPr>
          <w:rFonts w:hint="eastAsia" w:ascii="仿宋_GB2312" w:eastAsia="仿宋_GB2312"/>
          <w:color w:val="auto"/>
          <w:sz w:val="28"/>
          <w:szCs w:val="28"/>
        </w:rPr>
        <w:t>教育</w:t>
      </w:r>
      <w:r>
        <w:rPr>
          <w:rFonts w:hint="eastAsia" w:ascii="仿宋_GB2312" w:eastAsia="仿宋_GB2312"/>
          <w:color w:val="auto"/>
          <w:sz w:val="28"/>
          <w:szCs w:val="28"/>
          <w:lang w:val="en-US" w:eastAsia="zh-CN"/>
        </w:rPr>
        <w:t>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w:t>
      </w:r>
      <w:r>
        <w:rPr>
          <w:rFonts w:hint="eastAsia" w:ascii="仿宋_GB2312" w:eastAsia="仿宋_GB2312"/>
          <w:color w:val="auto"/>
          <w:sz w:val="28"/>
          <w:szCs w:val="28"/>
          <w:lang w:val="en-US" w:eastAsia="zh-CN"/>
        </w:rPr>
        <w:t>用于成人教育方面的</w:t>
      </w:r>
      <w:r>
        <w:rPr>
          <w:rFonts w:hint="eastAsia" w:ascii="仿宋_GB2312" w:eastAsia="仿宋_GB2312"/>
          <w:color w:val="auto"/>
          <w:sz w:val="28"/>
          <w:szCs w:val="28"/>
          <w:lang w:eastAsia="zh-CN"/>
        </w:rPr>
        <w:t>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文化旅游体育与传媒支出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文化和旅游</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其他文化和旅游支出（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反映除上述项目以外其他用于文化和旅游方面的支出。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文化旅游体育与传媒支出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基层政权建设和社区治理（</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反映开展城乡社区治理、城乡社区服务（乡村便民服务）、村（居）民自治、村（居）务公开、乡镇（街道）服务能力建设等基层政权建设和社区治理工作的支出。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其他民政管理事务支出（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反映除上述项目以外其他用于民政管理事务的支出。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社会保障和就业支出（类）行政事业单位养老支出（款）行政单位离退休（项）：反映用于行政单位（包括实行公务员管理的事业单位）开支的离退休经费。</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事业单位离退休</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事业单位开支的</w:t>
      </w:r>
      <w:r>
        <w:rPr>
          <w:rFonts w:hint="eastAsia" w:ascii="仿宋_GB2312" w:eastAsia="仿宋_GB2312"/>
          <w:color w:val="auto"/>
          <w:sz w:val="28"/>
          <w:szCs w:val="28"/>
        </w:rPr>
        <w:t>离退休经费。</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离退休</w:t>
      </w:r>
      <w:r>
        <w:rPr>
          <w:rFonts w:hint="eastAsia" w:ascii="仿宋_GB2312" w:eastAsia="仿宋_GB2312"/>
          <w:color w:val="auto"/>
          <w:sz w:val="28"/>
          <w:szCs w:val="28"/>
          <w:lang w:val="en-US" w:eastAsia="zh-CN"/>
        </w:rPr>
        <w:t>人员管理机构</w:t>
      </w:r>
      <w:r>
        <w:rPr>
          <w:rFonts w:hint="eastAsia" w:ascii="仿宋_GB2312" w:eastAsia="仿宋_GB2312"/>
          <w:color w:val="auto"/>
          <w:sz w:val="28"/>
          <w:szCs w:val="28"/>
        </w:rPr>
        <w:t>（项）：反映</w:t>
      </w:r>
      <w:r>
        <w:rPr>
          <w:rFonts w:hint="eastAsia" w:ascii="仿宋_GB2312" w:eastAsia="仿宋_GB2312"/>
          <w:color w:val="auto"/>
          <w:sz w:val="28"/>
          <w:szCs w:val="28"/>
          <w:lang w:val="en-US" w:eastAsia="zh-CN"/>
        </w:rPr>
        <w:t>各类</w:t>
      </w:r>
      <w:r>
        <w:rPr>
          <w:rFonts w:hint="eastAsia" w:ascii="仿宋_GB2312" w:eastAsia="仿宋_GB2312"/>
          <w:color w:val="auto"/>
          <w:sz w:val="28"/>
          <w:szCs w:val="28"/>
        </w:rPr>
        <w:t>离退休</w:t>
      </w:r>
      <w:r>
        <w:rPr>
          <w:rFonts w:hint="eastAsia" w:ascii="仿宋_GB2312" w:eastAsia="仿宋_GB2312"/>
          <w:color w:val="auto"/>
          <w:sz w:val="28"/>
          <w:szCs w:val="28"/>
          <w:lang w:val="en-US" w:eastAsia="zh-CN"/>
        </w:rPr>
        <w:t>人员管理机构的支出</w:t>
      </w:r>
      <w:r>
        <w:rPr>
          <w:rFonts w:hint="eastAsia" w:ascii="仿宋_GB2312" w:eastAsia="仿宋_GB2312"/>
          <w:color w:val="auto"/>
          <w:sz w:val="28"/>
          <w:szCs w:val="28"/>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反映机关事业单位实施养老保险制度由单位缴纳的基本养老保险费支出。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反映机关事业单位实施养老保险制度由单位实际缴纳的职业年金支出。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公益性岗位补贴（</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反映财政对符合条件的就业困难人员在公益性岗位就业给予的岗位补贴支出。</w:t>
      </w:r>
    </w:p>
    <w:p>
      <w:pPr>
        <w:widowControl w:val="0"/>
        <w:wordWrap/>
        <w:snapToGrid/>
        <w:spacing w:line="580" w:lineRule="exact"/>
        <w:ind w:right="0" w:firstLine="560" w:firstLineChars="20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其他就业补助支出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反映财政对符合条件的就业困难人员在公益性岗位就业给予的岗位补贴支出。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抚恤</w:t>
      </w:r>
      <w:r>
        <w:rPr>
          <w:rFonts w:hint="eastAsia" w:ascii="仿宋_GB2312" w:eastAsia="仿宋_GB2312"/>
          <w:color w:val="auto"/>
          <w:sz w:val="28"/>
          <w:szCs w:val="28"/>
        </w:rPr>
        <w:t>（款）</w:t>
      </w:r>
      <w:r>
        <w:rPr>
          <w:rFonts w:hint="eastAsia" w:ascii="仿宋_GB2312" w:eastAsia="仿宋_GB2312"/>
          <w:color w:val="auto"/>
          <w:sz w:val="28"/>
          <w:szCs w:val="28"/>
          <w:lang w:eastAsia="zh-CN"/>
        </w:rPr>
        <w:t>义务兵优待（</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反映用于义务兵优待方面的支出。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抚恤</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其他优抚支出（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反映除上述项目以外其他用于优抚方面的支出，包括向优抚对象发放的价格临时补贴、老烈士子女、老党员定期生活补助等支出。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社会福利</w:t>
      </w:r>
      <w:r>
        <w:rPr>
          <w:rFonts w:hint="eastAsia" w:ascii="仿宋_GB2312" w:eastAsia="仿宋_GB2312"/>
          <w:color w:val="auto"/>
          <w:sz w:val="28"/>
          <w:szCs w:val="28"/>
        </w:rPr>
        <w:t>（款）</w:t>
      </w:r>
      <w:r>
        <w:rPr>
          <w:rFonts w:hint="eastAsia" w:ascii="仿宋_GB2312" w:eastAsia="仿宋_GB2312"/>
          <w:color w:val="auto"/>
          <w:sz w:val="28"/>
          <w:szCs w:val="28"/>
          <w:lang w:eastAsia="zh-CN"/>
        </w:rPr>
        <w:t>养老服务（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反映财政在养老服务方面的补助支出，包括支持居家养老服务、社区养老服务和机构养老服务的支出，对养老服务机构的运营、建设补助支出等，不包括对社会福利事业单位的补助支出。</w:t>
      </w:r>
    </w:p>
    <w:p>
      <w:pPr>
        <w:widowControl w:val="0"/>
        <w:wordWrap/>
        <w:snapToGrid/>
        <w:spacing w:line="580" w:lineRule="exact"/>
        <w:ind w:right="0" w:firstLine="420" w:firstLineChars="15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残疾人事业</w:t>
      </w:r>
      <w:r>
        <w:rPr>
          <w:rFonts w:hint="eastAsia" w:ascii="仿宋_GB2312" w:eastAsia="仿宋_GB2312"/>
          <w:color w:val="auto"/>
          <w:sz w:val="28"/>
          <w:szCs w:val="28"/>
        </w:rPr>
        <w:t>（款）</w:t>
      </w:r>
      <w:r>
        <w:rPr>
          <w:rFonts w:hint="eastAsia" w:ascii="仿宋_GB2312" w:eastAsia="仿宋_GB2312"/>
          <w:color w:val="auto"/>
          <w:sz w:val="28"/>
          <w:szCs w:val="28"/>
          <w:lang w:eastAsia="zh-CN"/>
        </w:rPr>
        <w:t>残疾人</w:t>
      </w:r>
      <w:r>
        <w:rPr>
          <w:rFonts w:hint="eastAsia" w:ascii="仿宋_GB2312" w:eastAsia="仿宋_GB2312"/>
          <w:color w:val="auto"/>
          <w:sz w:val="28"/>
          <w:szCs w:val="28"/>
          <w:lang w:val="en-US" w:eastAsia="zh-CN"/>
        </w:rPr>
        <w:t>就业</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反映残疾人联合会用于残疾人就业方面的支出。</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残疾人事业</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其他残疾人事业支出（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反映除上述项目以外其他用于残疾人事业方面的支出。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最低生活保障</w:t>
      </w:r>
      <w:r>
        <w:rPr>
          <w:rFonts w:hint="eastAsia" w:ascii="仿宋_GB2312" w:eastAsia="仿宋_GB2312"/>
          <w:color w:val="auto"/>
          <w:sz w:val="28"/>
          <w:szCs w:val="28"/>
        </w:rPr>
        <w:t>（款）</w:t>
      </w:r>
      <w:r>
        <w:rPr>
          <w:rFonts w:hint="eastAsia" w:ascii="仿宋_GB2312" w:eastAsia="仿宋_GB2312"/>
          <w:color w:val="auto"/>
          <w:sz w:val="28"/>
          <w:szCs w:val="28"/>
          <w:lang w:eastAsia="zh-CN"/>
        </w:rPr>
        <w:t>城市最低生活保障金支出（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反映用于城市最低生活保障对象的最低生活保障金支出。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其他社会保障和就业支出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其他社会保障和就业支出（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反映除上述项目以外其他用于社会保障和就业方面的支出。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卫生健康支出（类）基层医疗卫生机构（款）</w:t>
      </w:r>
      <w:r>
        <w:rPr>
          <w:rFonts w:hint="eastAsia" w:ascii="仿宋_GB2312" w:eastAsia="仿宋_GB2312"/>
          <w:color w:val="auto"/>
          <w:sz w:val="28"/>
          <w:szCs w:val="28"/>
        </w:rPr>
        <w:t>乡镇卫生院</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反映用于乡镇卫生院的支出。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卫生健康支出（类）基层医疗卫生机构（款）</w:t>
      </w:r>
      <w:r>
        <w:rPr>
          <w:rFonts w:hint="eastAsia" w:ascii="仿宋_GB2312" w:eastAsia="仿宋_GB2312"/>
          <w:color w:val="auto"/>
          <w:sz w:val="28"/>
          <w:szCs w:val="28"/>
        </w:rPr>
        <w:t>其他基层医疗卫生机构支出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w:t>
      </w:r>
      <w:r>
        <w:rPr>
          <w:rFonts w:hint="eastAsia" w:ascii="仿宋_GB2312" w:eastAsia="仿宋_GB2312"/>
          <w:color w:val="auto"/>
          <w:sz w:val="28"/>
          <w:szCs w:val="28"/>
        </w:rPr>
        <w:t>基层医疗卫生机构</w:t>
      </w:r>
      <w:r>
        <w:rPr>
          <w:rFonts w:hint="eastAsia" w:ascii="仿宋_GB2312" w:eastAsia="仿宋_GB2312"/>
          <w:color w:val="auto"/>
          <w:sz w:val="28"/>
          <w:szCs w:val="28"/>
          <w:lang w:val="en-US" w:eastAsia="zh-CN"/>
        </w:rPr>
        <w:t>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基本公共卫生服务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反映基本公共卫生服务的支出。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重大公共卫生服务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反映重大疾病、重大传染病预防控制等重大公共服务项目支出。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突发公共卫生事件应急处理</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反映用于突发公共卫生事件应急处置方面的支出。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其他公共卫生支出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w:t>
      </w:r>
      <w:r>
        <w:rPr>
          <w:rFonts w:hint="eastAsia" w:ascii="仿宋_GB2312" w:eastAsia="仿宋_GB2312"/>
          <w:color w:val="auto"/>
          <w:sz w:val="28"/>
          <w:szCs w:val="28"/>
        </w:rPr>
        <w:t>公共卫生支出</w:t>
      </w:r>
      <w:r>
        <w:rPr>
          <w:rFonts w:hint="eastAsia" w:ascii="仿宋_GB2312" w:eastAsia="仿宋_GB2312"/>
          <w:color w:val="auto"/>
          <w:sz w:val="28"/>
          <w:szCs w:val="28"/>
          <w:lang w:val="en-US" w:eastAsia="zh-CN"/>
        </w:rPr>
        <w:t>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highlight w:val="none"/>
          <w:lang w:val="en-US" w:eastAsia="zh-CN"/>
        </w:rPr>
        <w:t>卫生健康支出（类）计划生育事务（款）</w:t>
      </w:r>
      <w:r>
        <w:rPr>
          <w:rFonts w:hint="eastAsia" w:ascii="仿宋_GB2312" w:eastAsia="仿宋_GB2312"/>
          <w:color w:val="auto"/>
          <w:sz w:val="28"/>
          <w:szCs w:val="28"/>
          <w:highlight w:val="none"/>
        </w:rPr>
        <w:t>计划生育服务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反映计划生育服务支出。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卫生健康支出（类）计划生育事务（款）</w:t>
      </w:r>
      <w:r>
        <w:rPr>
          <w:rFonts w:hint="eastAsia" w:ascii="仿宋_GB2312" w:eastAsia="仿宋_GB2312"/>
          <w:color w:val="auto"/>
          <w:sz w:val="28"/>
          <w:szCs w:val="28"/>
        </w:rPr>
        <w:t>其他计划生育事务支出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反映除上述项目以外的其他用于计划生育管理事务方面的支出。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卫生健康支出（类）行政事业单位医疗（款）行政</w:t>
      </w:r>
      <w:r>
        <w:rPr>
          <w:rFonts w:hint="eastAsia" w:ascii="仿宋_GB2312" w:eastAsia="仿宋_GB2312"/>
          <w:color w:val="auto"/>
          <w:sz w:val="28"/>
          <w:szCs w:val="28"/>
        </w:rPr>
        <w:t>单位医疗</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w:t>
      </w:r>
      <w:r>
        <w:rPr>
          <w:rFonts w:hint="eastAsia" w:ascii="仿宋_GB2312" w:eastAsia="仿宋_GB2312"/>
          <w:color w:val="auto"/>
          <w:sz w:val="28"/>
          <w:szCs w:val="28"/>
        </w:rPr>
        <w:t>事业单位医疗</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w:t>
      </w:r>
      <w:r>
        <w:rPr>
          <w:rFonts w:hint="eastAsia" w:ascii="仿宋_GB2312" w:eastAsia="仿宋_GB2312"/>
          <w:color w:val="auto"/>
          <w:sz w:val="28"/>
          <w:szCs w:val="28"/>
        </w:rPr>
        <w:t>公务员医疗补助</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反映财政部门安排的公务员医疗补助经费。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卫生健康支出（类）优抚对象医疗（款）</w:t>
      </w:r>
      <w:r>
        <w:rPr>
          <w:rFonts w:hint="eastAsia" w:ascii="仿宋_GB2312" w:eastAsia="仿宋_GB2312"/>
          <w:color w:val="auto"/>
          <w:sz w:val="28"/>
          <w:szCs w:val="28"/>
        </w:rPr>
        <w:t>优抚对象医疗补助</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反映按规定补助优抚对象的医疗经费。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卫生健康支出（类）中医药事务（款）</w:t>
      </w:r>
      <w:r>
        <w:rPr>
          <w:rFonts w:hint="eastAsia" w:ascii="仿宋_GB2312" w:eastAsia="仿宋_GB2312"/>
          <w:color w:val="auto"/>
          <w:sz w:val="28"/>
          <w:szCs w:val="28"/>
        </w:rPr>
        <w:t>中医（民族医）药专项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反映中医（民族医）药方面的专项支出。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卫生健康支出（类）其他卫生健康支出（款）</w:t>
      </w:r>
      <w:r>
        <w:rPr>
          <w:rFonts w:hint="eastAsia" w:ascii="仿宋_GB2312" w:eastAsia="仿宋_GB2312"/>
          <w:color w:val="auto"/>
          <w:sz w:val="28"/>
          <w:szCs w:val="28"/>
        </w:rPr>
        <w:t>其他卫生健康支出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反映上述项目以外其他用于卫生健康方面的支出。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节能环保支出（类）环境保护管理事务（款）</w:t>
      </w:r>
      <w:r>
        <w:rPr>
          <w:rFonts w:hint="eastAsia" w:ascii="仿宋_GB2312" w:eastAsia="仿宋_GB2312"/>
          <w:color w:val="auto"/>
          <w:sz w:val="28"/>
          <w:szCs w:val="28"/>
        </w:rPr>
        <w:t>一般行政管理事务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反映行政单位（包括实行公务员管理的事业单位）未单独设置项级科目的其他项目支出。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节能环保支出（类）污染防治（款）</w:t>
      </w:r>
      <w:r>
        <w:rPr>
          <w:rFonts w:hint="eastAsia" w:ascii="仿宋_GB2312" w:eastAsia="仿宋_GB2312"/>
          <w:color w:val="auto"/>
          <w:sz w:val="28"/>
          <w:szCs w:val="28"/>
        </w:rPr>
        <w:t>大气</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反映政府在治理空气污染、汽车尾气、酸雨、二氧化硫、沙尘暴等方面的</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节能环保支出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污染防治</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其他污染防治支出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w:t>
      </w:r>
      <w:r>
        <w:rPr>
          <w:rFonts w:hint="eastAsia" w:ascii="仿宋_GB2312" w:eastAsia="仿宋_GB2312"/>
          <w:color w:val="auto"/>
          <w:sz w:val="28"/>
          <w:szCs w:val="28"/>
          <w:lang w:val="en-US" w:eastAsia="zh-CN"/>
        </w:rPr>
        <w:t>污染防治</w:t>
      </w:r>
      <w:r>
        <w:rPr>
          <w:rFonts w:hint="eastAsia" w:ascii="仿宋_GB2312" w:eastAsia="仿宋_GB2312"/>
          <w:color w:val="auto"/>
          <w:sz w:val="28"/>
          <w:szCs w:val="28"/>
          <w:lang w:eastAsia="zh-CN"/>
        </w:rPr>
        <w:t>方面的支出。</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城乡社区支出（类）城乡社区管理事务（款）</w:t>
      </w:r>
      <w:r>
        <w:rPr>
          <w:rFonts w:hint="eastAsia" w:ascii="仿宋_GB2312" w:eastAsia="仿宋_GB2312"/>
          <w:color w:val="auto"/>
          <w:sz w:val="28"/>
          <w:szCs w:val="28"/>
          <w:highlight w:val="none"/>
        </w:rPr>
        <w:t>其他城乡社区管理事务支出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反映除上述项目以外的其他用于</w:t>
      </w:r>
      <w:r>
        <w:rPr>
          <w:rFonts w:hint="eastAsia" w:ascii="仿宋_GB2312" w:eastAsia="仿宋_GB2312"/>
          <w:color w:val="auto"/>
          <w:sz w:val="28"/>
          <w:szCs w:val="28"/>
          <w:highlight w:val="none"/>
        </w:rPr>
        <w:t>城乡社区管理事务</w:t>
      </w:r>
      <w:r>
        <w:rPr>
          <w:rFonts w:hint="eastAsia" w:ascii="仿宋_GB2312" w:eastAsia="仿宋_GB2312"/>
          <w:color w:val="auto"/>
          <w:sz w:val="28"/>
          <w:szCs w:val="28"/>
          <w:highlight w:val="none"/>
          <w:lang w:val="en-US" w:eastAsia="zh-CN"/>
        </w:rPr>
        <w:t>方面的</w:t>
      </w:r>
      <w:r>
        <w:rPr>
          <w:rFonts w:hint="eastAsia" w:ascii="仿宋_GB2312" w:eastAsia="仿宋_GB2312"/>
          <w:color w:val="auto"/>
          <w:sz w:val="28"/>
          <w:szCs w:val="28"/>
          <w:highlight w:val="none"/>
        </w:rPr>
        <w:t>支出</w:t>
      </w:r>
      <w:r>
        <w:rPr>
          <w:rFonts w:hint="eastAsia" w:ascii="仿宋_GB2312" w:eastAsia="仿宋_GB2312"/>
          <w:color w:val="auto"/>
          <w:sz w:val="28"/>
          <w:szCs w:val="28"/>
          <w:highlight w:val="none"/>
          <w:lang w:val="en-US" w:eastAsia="zh-CN"/>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highlight w:val="yellow"/>
          <w:lang w:eastAsia="zh-CN"/>
        </w:rPr>
      </w:pPr>
      <w:r>
        <w:rPr>
          <w:rFonts w:hint="eastAsia" w:ascii="仿宋_GB2312" w:eastAsia="仿宋_GB2312"/>
          <w:color w:val="auto"/>
          <w:sz w:val="28"/>
          <w:szCs w:val="28"/>
          <w:highlight w:val="none"/>
          <w:lang w:eastAsia="zh-CN"/>
        </w:rPr>
        <w:t>城乡社区支出</w:t>
      </w:r>
      <w:r>
        <w:rPr>
          <w:rFonts w:hint="eastAsia" w:ascii="仿宋_GB2312" w:eastAsia="仿宋_GB2312"/>
          <w:color w:val="auto"/>
          <w:sz w:val="28"/>
          <w:szCs w:val="28"/>
          <w:highlight w:val="none"/>
        </w:rPr>
        <w:t>（类）城乡社区环境卫生（款）</w:t>
      </w:r>
      <w:r>
        <w:rPr>
          <w:rFonts w:hint="eastAsia" w:ascii="仿宋_GB2312" w:eastAsia="仿宋_GB2312"/>
          <w:color w:val="auto"/>
          <w:sz w:val="28"/>
          <w:szCs w:val="28"/>
          <w:highlight w:val="none"/>
          <w:lang w:eastAsia="zh-CN"/>
        </w:rPr>
        <w:t>城乡社区环境卫生（</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反映城乡社区道路清扫、垃圾清运与处理、公厕建设与维护、园林绿化的等方面的支出。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城乡社区支出（类）国有土地使用权出让收入安排的支出（款）</w:t>
      </w:r>
      <w:r>
        <w:rPr>
          <w:rFonts w:hint="eastAsia" w:ascii="仿宋_GB2312" w:eastAsia="仿宋_GB2312"/>
          <w:color w:val="auto"/>
          <w:sz w:val="28"/>
          <w:szCs w:val="28"/>
        </w:rPr>
        <w:t>征地和拆迁补偿支出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反映新疆生产建设兵团和地方政府在征地和收购土地过程中支付的土地补偿费、安置补助费、地上附着和青苗补偿费、拆迁补偿费支出。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城市建设支出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反映土地出让收入用于完善国有土地使用功能的配套设施建设和城市基础设施建设支出。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农村基础设施建设支出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反映土地出让收入用于农村供水保障、村庄公共设施建设和管护以及与农业农村直接相关的以工代赈等方面的支出。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农业生产发展支出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反映土地出让收入用于高标准农田建设、农田水利建设、农村土地综合整治、耕地及永久基本农田保护支出、现代</w:t>
      </w:r>
      <w:r>
        <w:rPr>
          <w:rFonts w:hint="eastAsia" w:ascii="仿宋_GB2312" w:eastAsia="仿宋_GB2312"/>
          <w:color w:val="auto"/>
          <w:sz w:val="28"/>
          <w:szCs w:val="28"/>
          <w:highlight w:val="none"/>
          <w:lang w:val="en-US" w:eastAsia="zh-CN"/>
        </w:rPr>
        <w:t>种业提升等方</w:t>
      </w:r>
      <w:r>
        <w:rPr>
          <w:rFonts w:hint="eastAsia" w:ascii="仿宋_GB2312" w:eastAsia="仿宋_GB2312"/>
          <w:color w:val="auto"/>
          <w:sz w:val="28"/>
          <w:szCs w:val="28"/>
          <w:lang w:val="en-US" w:eastAsia="zh-CN"/>
        </w:rPr>
        <w:t>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农业农村生态环境支出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反映土地出让收入用于农村人居环境整治、与农业农村直接相关的山水林田湖草上台保护修复等方面的支出。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城乡社区支出（类）国有土地使用权出让收入安排的支出（款）其他国有土地使用权出让收入安排的支出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反映土地出让收入用于其他方面的支出。不包括市县级政府当年按规定用土地出让收入向中央和省级政府缴纳的新增建设用地土地有偿使用费的支出。</w:t>
      </w:r>
    </w:p>
    <w:p>
      <w:pPr>
        <w:tabs>
          <w:tab w:val="left" w:pos="2653"/>
        </w:tabs>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城乡社区支出（类）城市基础设施配套费安排的支出（款）城市环境卫生</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反映城市基础设施配套费安排用于道路清扫、垃圾清运与处理、污水处理、园林绿化等方面的支出。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城乡社区支出（类）其他城乡社区支出（款）</w:t>
      </w:r>
      <w:r>
        <w:rPr>
          <w:rFonts w:hint="eastAsia" w:ascii="仿宋_GB2312" w:eastAsia="仿宋_GB2312"/>
          <w:color w:val="auto"/>
          <w:sz w:val="28"/>
          <w:szCs w:val="28"/>
        </w:rPr>
        <w:t>其他城乡社区支出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w:t>
      </w:r>
      <w:r>
        <w:rPr>
          <w:rFonts w:hint="eastAsia" w:ascii="仿宋_GB2312" w:eastAsia="仿宋_GB2312"/>
          <w:color w:val="auto"/>
          <w:sz w:val="28"/>
          <w:szCs w:val="28"/>
        </w:rPr>
        <w:t>城乡社区</w:t>
      </w:r>
      <w:r>
        <w:rPr>
          <w:rFonts w:hint="eastAsia" w:ascii="仿宋_GB2312" w:eastAsia="仿宋_GB2312"/>
          <w:color w:val="auto"/>
          <w:sz w:val="28"/>
          <w:szCs w:val="28"/>
          <w:lang w:val="en-US" w:eastAsia="zh-CN"/>
        </w:rPr>
        <w:t>方面的</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w:t>
      </w:r>
    </w:p>
    <w:p>
      <w:pPr>
        <w:ind w:firstLine="420" w:firstLineChars="15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农林水支出（类）农业农村（款）病虫害控制</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病虫鼠害及疫情监测、预报、预防、控制、检疫、防疫所需的仪器、设施、药物、疫苗、种苗，疫畜（禽、鱼、植物）防治、扑杀补偿及劳务补助、菌（毒）种保藏及动植物及其产品检疫、检测等方面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农林水支出（类）农业农村（款）</w:t>
      </w:r>
      <w:r>
        <w:rPr>
          <w:rFonts w:hint="eastAsia" w:ascii="仿宋_GB2312" w:eastAsia="仿宋_GB2312"/>
          <w:color w:val="auto"/>
          <w:sz w:val="28"/>
          <w:szCs w:val="28"/>
          <w:highlight w:val="none"/>
        </w:rPr>
        <w:t>农业生产发展</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反映用于耕地地力保护、适度规模经营、农机购置与应用补贴、优势特色主导产业发展、畜牧水产发展、农村一二三产业融合等方面的支出。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highlight w:val="none"/>
          <w:lang w:val="en-US" w:eastAsia="zh-CN"/>
        </w:rPr>
        <w:t>农林水支出（类）农业农村（款）</w:t>
      </w:r>
      <w:r>
        <w:rPr>
          <w:rFonts w:hint="eastAsia" w:ascii="仿宋_GB2312" w:eastAsia="仿宋_GB2312"/>
          <w:color w:val="auto"/>
          <w:sz w:val="28"/>
          <w:szCs w:val="28"/>
          <w:highlight w:val="none"/>
        </w:rPr>
        <w:t>耕地建设与利用</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反映用于农田建设和田间水利相关工程建设、盐碱地综合利用、黑土地保护、耕地轮作休耕、耕地质量提升等方面的支出。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林业和草原</w:t>
      </w:r>
      <w:r>
        <w:rPr>
          <w:rFonts w:hint="eastAsia" w:ascii="仿宋_GB2312" w:eastAsia="仿宋_GB2312"/>
          <w:color w:val="auto"/>
          <w:sz w:val="28"/>
          <w:szCs w:val="28"/>
        </w:rPr>
        <w:t>（款）</w:t>
      </w:r>
      <w:r>
        <w:rPr>
          <w:rFonts w:hint="eastAsia" w:ascii="仿宋_GB2312" w:eastAsia="仿宋_GB2312"/>
          <w:color w:val="auto"/>
          <w:sz w:val="28"/>
          <w:szCs w:val="28"/>
          <w:lang w:eastAsia="zh-CN"/>
        </w:rPr>
        <w:t>森林资源培育（</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反映育苗（种）、造林、抚育、退化林修复、义务植树以及生物质能源建设等方面的支出。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水利工程建设（</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水利系统用于江、河、湖、滩等水利工程建设支出，包括堤防、河道、水库、水利枢纽、涵闸、灌区、供水、蓄滞洪区等水利工程及其附属设备、设施的建设、改造更新、病险水库除险加固、大型灌区改造、农村电气化建设等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水资源节约管理与保护（</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反映水资源节约、监管、配置、调度、保护和基础管理工作的支出。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其他水利支出（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反映除上述项目以外其他用于水利方面的支出。</w:t>
      </w:r>
    </w:p>
    <w:p>
      <w:pPr>
        <w:widowControl w:val="0"/>
        <w:wordWrap/>
        <w:snapToGrid/>
        <w:spacing w:line="580" w:lineRule="exact"/>
        <w:ind w:right="0" w:firstLine="420" w:firstLineChars="150"/>
        <w:textAlignment w:val="auto"/>
        <w:outlineLvl w:val="9"/>
        <w:rPr>
          <w:rFonts w:hint="eastAsia" w:ascii="宋体" w:hAnsi="宋体" w:cs="宋体"/>
          <w:b/>
          <w:bCs/>
          <w:color w:val="auto"/>
          <w:spacing w:val="40"/>
          <w:kern w:val="0"/>
          <w:sz w:val="32"/>
          <w:szCs w:val="32"/>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住房保障支出（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住房改革支出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购房补贴（</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反映按房改政策规定，行政事业单位向符合条件职工（含离退休人员）、军队（含武警）向转役复原离退休人员发放的用于购买住房的补贴。</w:t>
      </w:r>
    </w:p>
    <w:p>
      <w:pPr>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灾害防治及应急管理支出（类）应急管理事务（款）</w:t>
      </w:r>
      <w:r>
        <w:rPr>
          <w:rFonts w:hint="eastAsia" w:ascii="仿宋_GB2312" w:eastAsia="仿宋_GB2312"/>
          <w:color w:val="auto"/>
          <w:sz w:val="28"/>
          <w:szCs w:val="28"/>
          <w:highlight w:val="none"/>
        </w:rPr>
        <w:t>安全监管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反映安全生产综合监督管理和工贸行业安全生产监督管理方面的支出。</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lang w:eastAsia="zh-CN"/>
        </w:rPr>
        <w:t>（</w:t>
      </w:r>
      <w:r>
        <w:rPr>
          <w:rFonts w:hint="eastAsia" w:ascii="仿宋_GB2312" w:eastAsia="仿宋_GB2312"/>
          <w:color w:val="auto"/>
          <w:sz w:val="28"/>
          <w:szCs w:val="28"/>
        </w:rPr>
        <w:t>类）</w:t>
      </w: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lang w:eastAsia="zh-CN"/>
        </w:rPr>
        <w:t>（</w:t>
      </w:r>
      <w:r>
        <w:rPr>
          <w:rFonts w:hint="eastAsia" w:ascii="仿宋_GB2312" w:eastAsia="仿宋_GB2312"/>
          <w:color w:val="auto"/>
          <w:sz w:val="28"/>
          <w:szCs w:val="28"/>
        </w:rPr>
        <w:t>款）</w:t>
      </w: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lang w:eastAsia="zh-CN"/>
        </w:rPr>
        <w:t>反映除上述项目以外其他</w:t>
      </w:r>
      <w:r>
        <w:rPr>
          <w:rFonts w:hint="eastAsia" w:ascii="仿宋_GB2312" w:eastAsia="仿宋_GB2312"/>
          <w:color w:val="auto"/>
          <w:sz w:val="28"/>
          <w:szCs w:val="28"/>
          <w:lang w:val="en-US" w:eastAsia="zh-CN"/>
        </w:rPr>
        <w:t>不能划分到具体功能科目中的支出项目</w:t>
      </w:r>
      <w:r>
        <w:rPr>
          <w:rFonts w:hint="eastAsia" w:ascii="仿宋_GB2312" w:eastAsia="仿宋_GB2312"/>
          <w:color w:val="auto"/>
          <w:sz w:val="28"/>
          <w:szCs w:val="28"/>
          <w:lang w:eastAsia="zh-CN"/>
        </w:rPr>
        <w:t>。</w:t>
      </w:r>
    </w:p>
    <w:p>
      <w:pPr>
        <w:ind w:firstLine="560" w:firstLineChars="200"/>
        <w:rPr>
          <w:rFonts w:hint="eastAsia" w:ascii="仿宋_GB2312" w:hAnsi="Times New Roman" w:eastAsia="仿宋_GB2312" w:cs="Times New Roman"/>
          <w:sz w:val="28"/>
          <w:szCs w:val="28"/>
          <w:highlight w:val="none"/>
          <w:lang w:val="en-US" w:eastAsia="zh-CN"/>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7"/>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7"/>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7"/>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部门整体绩效</w:t>
      </w:r>
      <w:r>
        <w:rPr>
          <w:rFonts w:hint="eastAsia" w:ascii="宋体" w:hAnsi="宋体" w:eastAsia="宋体" w:cs="宋体"/>
          <w:b/>
          <w:bCs/>
          <w:color w:val="auto"/>
          <w:sz w:val="32"/>
          <w:szCs w:val="32"/>
          <w:highlight w:val="none"/>
          <w:lang w:eastAsia="zh-CN"/>
        </w:rPr>
        <w:t>评价</w:t>
      </w:r>
      <w:r>
        <w:rPr>
          <w:rFonts w:hint="eastAsia" w:ascii="宋体" w:hAnsi="宋体" w:eastAsia="宋体" w:cs="宋体"/>
          <w:b/>
          <w:bCs/>
          <w:color w:val="auto"/>
          <w:sz w:val="32"/>
          <w:szCs w:val="32"/>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color w:val="auto"/>
          <w:szCs w:val="3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一、部门概况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1.大兴区</w:t>
      </w:r>
      <w:r>
        <w:rPr>
          <w:rFonts w:hint="eastAsia" w:ascii="仿宋_GB2312" w:hAnsi="仿宋_GB2312" w:eastAsia="仿宋_GB2312" w:cs="仿宋_GB2312"/>
          <w:color w:val="auto"/>
          <w:sz w:val="28"/>
          <w:szCs w:val="28"/>
          <w:highlight w:val="none"/>
          <w:lang w:val="en-US" w:eastAsia="zh-CN"/>
        </w:rPr>
        <w:t>瀛海</w:t>
      </w:r>
      <w:r>
        <w:rPr>
          <w:rFonts w:hint="eastAsia" w:ascii="仿宋_GB2312" w:hAnsi="仿宋_GB2312" w:eastAsia="仿宋_GB2312" w:cs="仿宋_GB2312"/>
          <w:color w:val="auto"/>
          <w:sz w:val="28"/>
          <w:szCs w:val="28"/>
          <w:highlight w:val="none"/>
        </w:rPr>
        <w:t>镇人民政府主要职责为：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贯彻执行国家的法律、法规、规章和市、区人民政府的决定、命令、指示。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执行本镇人民代表大会的各项决议。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制定全镇经济社会发展中、长远期规划和年度计划，并组织实施。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负责本镇的经济、教育、科学、文化体育、卫生、计划生育、财政、民政、优抚、残疾人工作及劳动和社会保障工作。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负责公安、司法、社会治安综合治理以及环保、环卫、交通、安全、能源、防汛等工作。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保护全民所有和集体所有制财产，保护公民私人所有的合法财产，维护社会秩序，保障公民的人身权利、民主权利和其他权利，保护各种经济组织的合法权益，保障少数民族的权利和尊重少数民族的风俗习惯。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保障宪法和法律赋予的妇女的男女平等、同工同酬和婚姻自由等各项权利。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完成上级人民政府交办的其他任务。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本部门机构设置情况：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本部门所属行政单位1个，为：北京市大兴区瀛海镇人民政府（本级）。</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rPr>
      </w:pPr>
      <w:r>
        <w:rPr>
          <w:rFonts w:hint="eastAsia" w:ascii="仿宋_GB2312" w:hAnsi="仿宋_GB2312" w:eastAsia="仿宋_GB2312" w:cs="仿宋_GB2312"/>
          <w:color w:val="auto"/>
          <w:sz w:val="28"/>
          <w:szCs w:val="28"/>
          <w:highlight w:val="none"/>
          <w:lang w:val="en-US" w:eastAsia="zh-CN"/>
        </w:rPr>
        <w:t>事业单位1个，为：北京市大兴区瀛海镇社区卫生服务中心。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瀛海镇政府部门整体绩效目标是结合部门职能、2024年度重点工作任务、相关政策等内容进行设置的，瀛海镇政府分四个方面对整体绩效情况进行了分项设置，分别为：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负责公共安全管理组织协调工作；通过开展辖区安全维稳工作，做好综合治理、重点安保、重点区域、突发应急等方面工作，提升辖区群众安全感和安全防范意识；保障辖区不发生涉恐维稳等事件，维护辖区稳定和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2.通过开展法律政策宣传、镇域内管理整治、接诉即办等工作，强化瀛海镇综合管理，推动瀛海镇管理工作更加科学化、规范化和标准化，增强辖区居民的幸福感、获得感。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通过开展民生、养老、助残、拥军、卫生等各项社会事务管理工作，构筑基层治理体系，更好地服务辖区居民，提升居民的归属感、幸福感。建立镇级“枢纽型”社会组织工作体系，培育、指导、监督社区社会组织，加强社区标准化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4.统筹辖区党建、组织人事、精神文明建设、人大、妇联等工作，为瀛海镇提供后勤保障，推动瀛海镇工作开展，保障机关正常运转。</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二</w:t>
      </w:r>
      <w:r>
        <w:rPr>
          <w:rFonts w:ascii="黑体" w:hAnsi="黑体" w:eastAsia="黑体" w:cs="宋体"/>
          <w:color w:val="auto"/>
          <w:kern w:val="0"/>
          <w:sz w:val="28"/>
          <w:szCs w:val="28"/>
          <w:highlight w:val="none"/>
        </w:rPr>
        <w:t>、</w:t>
      </w:r>
      <w:r>
        <w:rPr>
          <w:rFonts w:hint="eastAsia" w:ascii="黑体" w:hAnsi="黑体" w:eastAsia="黑体" w:cs="宋体"/>
          <w:color w:val="auto"/>
          <w:kern w:val="0"/>
          <w:sz w:val="28"/>
          <w:szCs w:val="28"/>
          <w:highlight w:val="none"/>
        </w:rPr>
        <w:t>当年</w:t>
      </w:r>
      <w:r>
        <w:rPr>
          <w:rFonts w:ascii="黑体" w:hAnsi="黑体" w:eastAsia="黑体" w:cs="宋体"/>
          <w:color w:val="auto"/>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2024年全年预算数50463.4</w:t>
      </w:r>
      <w:r>
        <w:rPr>
          <w:rFonts w:hint="eastAsia" w:ascii="仿宋_GB2312" w:hAnsi="仿宋_GB2312" w:eastAsia="仿宋_GB2312" w:cs="仿宋_GB2312"/>
          <w:color w:val="auto"/>
          <w:kern w:val="0"/>
          <w:sz w:val="28"/>
          <w:szCs w:val="28"/>
          <w:highlight w:val="none"/>
          <w:lang w:val="en-US" w:eastAsia="zh-CN"/>
        </w:rPr>
        <w:t>7</w:t>
      </w:r>
      <w:r>
        <w:rPr>
          <w:rFonts w:hint="eastAsia" w:ascii="仿宋_GB2312" w:hAnsi="仿宋_GB2312" w:eastAsia="仿宋_GB2312" w:cs="仿宋_GB2312"/>
          <w:color w:val="auto"/>
          <w:kern w:val="0"/>
          <w:sz w:val="28"/>
          <w:szCs w:val="28"/>
          <w:highlight w:val="none"/>
        </w:rPr>
        <w:t>万元，其中，基本支出预算数17874.2</w:t>
      </w: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color w:val="auto"/>
          <w:kern w:val="0"/>
          <w:sz w:val="28"/>
          <w:szCs w:val="28"/>
          <w:highlight w:val="none"/>
        </w:rPr>
        <w:t>万元，项目支出预算数32589.25万元，其他支出预算数0.00万元。资金总体支出51492.18万元，其中，基本支出17146.4</w:t>
      </w:r>
      <w:r>
        <w:rPr>
          <w:rFonts w:hint="eastAsia" w:ascii="仿宋_GB2312" w:hAnsi="仿宋_GB2312" w:eastAsia="仿宋_GB2312" w:cs="仿宋_GB2312"/>
          <w:color w:val="auto"/>
          <w:kern w:val="0"/>
          <w:sz w:val="28"/>
          <w:szCs w:val="28"/>
          <w:highlight w:val="none"/>
          <w:lang w:val="en-US" w:eastAsia="zh-CN"/>
        </w:rPr>
        <w:t>1</w:t>
      </w:r>
      <w:r>
        <w:rPr>
          <w:rFonts w:hint="eastAsia" w:ascii="仿宋_GB2312" w:hAnsi="仿宋_GB2312" w:eastAsia="仿宋_GB2312" w:cs="仿宋_GB2312"/>
          <w:color w:val="auto"/>
          <w:kern w:val="0"/>
          <w:sz w:val="28"/>
          <w:szCs w:val="28"/>
          <w:highlight w:val="none"/>
        </w:rPr>
        <w:t>万元，项目支出34345.77万元，其他支出0.00万元。预算执行率为102.04%。</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三</w:t>
      </w:r>
      <w:r>
        <w:rPr>
          <w:rFonts w:ascii="黑体" w:hAnsi="黑体" w:eastAsia="黑体" w:cs="宋体"/>
          <w:color w:val="auto"/>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（一）安全应急管理任务完成情况分析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公共安全管理组织协调、辖区安全维稳、综合治理、重点安保、重点区域、突发应急等方面工作完成情况：切实做好汛期的汛情应对工作，建设镇域内电动自行车集中充电设施，保障人民群众生命财产安全，实现安全充电。做好规范化队伍建设，提高生产经营单位对安全生产工作重视度。通过开展对垃圾中转站的运行管理工作以及生活垃圾清运工作，保障镇域内产生的生活垃圾日产日清，营造洁净、整齐、美丽的人居环境。做好镇政府和党群服务中心秩序维护工作，保障执法部门日常工作开展。完成对镇域内乡村公路进行养护，保障居民出行安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（二）公共综合管理任务完成情况分析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律政策宣传、镇域内管理整治等工作完成情况：通过对镇域内居民开展法律、法规的宣传培训，提高居民法律意识。对镇域背街小巷环境进行精细化治理，提升背街小巷的环境水平。提升社区周边环境，减少裸露土地面积。通过开展对外宣传活动，完成了</w:t>
      </w:r>
      <w:r>
        <w:rPr>
          <w:rFonts w:hint="eastAsia" w:ascii="仿宋_GB2312" w:hAnsi="仿宋_GB2312" w:eastAsia="仿宋_GB2312" w:cs="仿宋_GB2312"/>
          <w:color w:val="auto"/>
          <w:sz w:val="28"/>
          <w:szCs w:val="28"/>
          <w:highlight w:val="none"/>
          <w:lang w:val="en-US" w:eastAsia="zh-CN"/>
        </w:rPr>
        <w:t>多</w:t>
      </w:r>
      <w:r>
        <w:rPr>
          <w:rFonts w:hint="eastAsia" w:ascii="仿宋_GB2312" w:hAnsi="仿宋_GB2312" w:eastAsia="仿宋_GB2312" w:cs="仿宋_GB2312"/>
          <w:color w:val="auto"/>
          <w:sz w:val="28"/>
          <w:szCs w:val="28"/>
          <w:highlight w:val="none"/>
        </w:rPr>
        <w:t>篇信息发布。</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（三）社会事务管理任务完成情况分析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民生、养老、助残、拥军、卫生等各项社会事务管理工作完成情况：即时为社救对象、见义勇为人员发放养老院住院费、集中供暖补贴、清洁能源补贴、两节慰问金。通过对镇域内残疾人情况进行需求调查，共为1235人发放补助，应补尽补率100%。在春节前，向96位重残人员发放补贴，提升残疾人的生活质量及对生活的信心。为8名瀛海镇户籍义务兵发放义务兵奖励金，为优抚对象发放医疗救助金、取暖补贴。为957名瀛海户籍退役军人发放慰问品，为39名优抚对象、现役义务兵家属发放慰问品。通过对406名适龄女性进行体检，完成瀛海镇三分之一适龄女性的两癌筛查和长效体检工作。完成基本药物制度补助经费发放，保障地区百姓基本医疗服务，降低百姓就医成本，实现对6名乡村医生的补助发放。</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（四）精神文明建设任务完成情况分析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统筹辖区党建、组织人事、精神文明建设、人大、妇联等工作完成情况：“瀛海社区报”公众号每周推送一次视频信息，记录群众生活的幸福样态。“瀛海爱生活”微信公众号每个工作日推送一次公众号信息，为居民提供社区信息，宣扬社区正能量。编写《瀛海镇社区志》，购置宣传提示牌、展板、条幅、小区平面图册等，覆盖16个社区、社区党委完成日常工作和宣传活动。为基层治理体系和治理能力现代化提供扎实的史料依据和参考借鉴。开展大兴区庆祝人民代表大会成立70周年活动，宣传人民代表大会制度优势，展示大兴人大发展生动实践，进一步激发全区人民的政治热情。通过制作1000册人代会培训材料，开展活动，提升人大代表履职能力。慰问30名贫困妇女、困境儿童，及时传递关心和关爱，提高妇女儿童幸福感。开展10余次重要及传统节日的庆祝活动，丰富群众生活，弘扬中华传统文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年度工作任务完成情况较好，通过各项目的实施，基本完成了预期既定的目标，但需进一步加强项目完成情况的资料归集和总结分析。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四</w:t>
      </w:r>
      <w:r>
        <w:rPr>
          <w:rFonts w:ascii="黑体" w:hAnsi="黑体" w:eastAsia="黑体" w:cs="宋体"/>
          <w:color w:val="auto"/>
          <w:kern w:val="0"/>
          <w:sz w:val="28"/>
          <w:szCs w:val="28"/>
          <w:highlight w:val="none"/>
        </w:rPr>
        <w:t>、预算管理</w:t>
      </w:r>
      <w:r>
        <w:rPr>
          <w:rFonts w:hint="eastAsia" w:ascii="黑体" w:hAnsi="黑体" w:eastAsia="黑体" w:cs="宋体"/>
          <w:color w:val="auto"/>
          <w:kern w:val="0"/>
          <w:sz w:val="28"/>
          <w:szCs w:val="28"/>
          <w:highlight w:val="none"/>
        </w:rPr>
        <w:t>情况分</w:t>
      </w:r>
      <w:r>
        <w:rPr>
          <w:rFonts w:ascii="黑体" w:hAnsi="黑体" w:eastAsia="黑体" w:cs="宋体"/>
          <w:color w:val="auto"/>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（一）财务管理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1.财务管理制度健全性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我镇编制了《大兴区瀛海镇财政财务管理办法》等，在财政资金的使用、部门和预算单位的财务管理等方面进行了规范，对部门和预算单位的财政财务管理、经济业务活动等起到了指导、规范、控制和监督作用。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为了进一步保障资金安全、高效运行，提高资金使用效益，</w:t>
      </w:r>
      <w:r>
        <w:rPr>
          <w:rFonts w:hint="eastAsia" w:ascii="仿宋_GB2312" w:hAnsi="仿宋_GB2312" w:eastAsia="仿宋_GB2312" w:cs="仿宋_GB2312"/>
          <w:color w:val="auto"/>
          <w:sz w:val="28"/>
          <w:szCs w:val="28"/>
          <w:highlight w:val="none"/>
          <w:lang w:val="en-US" w:eastAsia="zh-CN"/>
        </w:rPr>
        <w:t>我镇</w:t>
      </w:r>
      <w:r>
        <w:rPr>
          <w:rFonts w:hint="eastAsia" w:ascii="仿宋_GB2312" w:hAnsi="仿宋_GB2312" w:eastAsia="仿宋_GB2312" w:cs="仿宋_GB2312"/>
          <w:color w:val="auto"/>
          <w:sz w:val="28"/>
          <w:szCs w:val="28"/>
          <w:highlight w:val="none"/>
        </w:rPr>
        <w:t>在资金使用过程中，贯彻执行国家法律法规和财政部门有关管理要求，执行《大兴区瀛海镇财政财务管理办法》</w:t>
      </w:r>
      <w:r>
        <w:rPr>
          <w:rFonts w:hint="eastAsia" w:ascii="仿宋_GB2312" w:hAnsi="仿宋_GB2312" w:eastAsia="仿宋_GB2312" w:cs="仿宋_GB2312"/>
          <w:color w:val="auto"/>
          <w:sz w:val="28"/>
          <w:szCs w:val="28"/>
          <w:highlight w:val="none"/>
          <w:lang w:eastAsia="zh-CN"/>
        </w:rPr>
        <w:t>，各类财政资金的使用严格按照相关规定和制度执行。</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3.会计基础信息完善性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我镇会计基础信息较为完善，会计凭证、财务报表、相关账簿、文件、记录等会计信息齐备，对项目开展过程中的各项财产物资能够及时做好原始记录，保证日常支出记录的完整性，按照规定向有关部门报送财务报表。</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FF"/>
          <w:sz w:val="28"/>
          <w:szCs w:val="28"/>
          <w:highlight w:val="none"/>
        </w:rPr>
      </w:pPr>
      <w:r>
        <w:rPr>
          <w:rFonts w:hint="eastAsia" w:ascii="仿宋_GB2312" w:hAnsi="仿宋_GB2312" w:eastAsia="仿宋_GB2312" w:cs="仿宋_GB2312"/>
          <w:color w:val="auto"/>
          <w:sz w:val="28"/>
          <w:szCs w:val="28"/>
          <w:highlight w:val="none"/>
        </w:rPr>
        <w:t>部门资产管理工作较为规范，能够及时清点固定资产，进行定期更新、核对和上传数据。</w:t>
      </w:r>
      <w:r>
        <w:rPr>
          <w:rFonts w:hint="eastAsia" w:ascii="仿宋_GB2312" w:hAnsi="仿宋_GB2312" w:eastAsia="仿宋_GB2312" w:cs="仿宋_GB2312"/>
          <w:color w:val="auto"/>
          <w:sz w:val="28"/>
          <w:szCs w:val="28"/>
          <w:lang w:val="en-US" w:eastAsia="zh-CN"/>
        </w:rPr>
        <w:t>严格遵守固定资产管理制度，加强对资产构建、处置的检查监督，完善管理办法。</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（三）绩效管理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按照区财政局预算绩效管理的相关要求，各项目资金支出设置相应的绩效目标，并在项目完成时开展自评工作。对于重点项目开展财政评价工作</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做到及时对绩效信息进行汇总分析整理，并对绩效目标偏离情况及时进行矫正。</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（四）部门预决算差异率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瀛海镇政府2024年度部门预算金额为50463.4</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万元，年度部门决算金额为51492.18万元，2024年部门预决算差异率为-2.04%。</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olor w:val="auto"/>
          <w:sz w:val="28"/>
          <w:szCs w:val="28"/>
          <w:highlight w:val="none"/>
        </w:rPr>
      </w:pPr>
      <w:r>
        <w:rPr>
          <w:rFonts w:hint="eastAsia" w:ascii="黑体" w:hAnsi="黑体" w:eastAsia="黑体"/>
          <w:color w:val="auto"/>
          <w:sz w:val="28"/>
          <w:szCs w:val="28"/>
          <w:highlight w:val="none"/>
        </w:rPr>
        <w:t>五、总体</w:t>
      </w:r>
      <w:r>
        <w:rPr>
          <w:rFonts w:ascii="黑体" w:hAnsi="黑体" w:eastAsia="黑体"/>
          <w:color w:val="auto"/>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（一）评价得分情况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2024年度北京市大兴区瀛海镇人民政府部门整体支出绩效评价综合得分96.20分，部门整体绩效评价等级为“优”。其中，当年预算执行情况20.00分，整体绩效目标实现情况57.70分，预算管理情况18.50分。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（二）存在的问题及原因分析</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一是绩效管理有待加强，绩效目标设置的全面性、细化程度不足；二是预算及资金管理有待加强，预算管理科学性可进一步加强，预算测算依据和资金使用计划的合理性有待提升，部分项目相关预算不够细化；三是过程管理有待加强</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，部分项目过程资料归集不够充分。我单位项目绩效目标编制水平仍有待提升，下一步我们将认真梳理，规范预算编制，不断提升绩效管理水平。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rPr>
      </w:pPr>
      <w:r>
        <w:rPr>
          <w:rFonts w:hint="eastAsia" w:ascii="黑体" w:hAnsi="黑体" w:eastAsia="黑体" w:cs="宋体"/>
          <w:color w:val="auto"/>
          <w:kern w:val="0"/>
          <w:sz w:val="28"/>
          <w:szCs w:val="28"/>
          <w:highlight w:val="none"/>
        </w:rPr>
        <w:t>六、措施建议</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1.加强绩效管理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一是科学合理设置部门整体绩效目标，依据部门职责及年度重点工作合理设置部门整体绩效目标；二是科学合理量化设置项目绩效指标，根据项目实际情况，绩效指标设置尽量细化量化，数量指标明确项目实施的主要产出内容，质量指标要对应项目数量指标内容进行设置，时效指标体现项目实施的具体时间节点，成本指标尽量明确各分项成本或单位成本控制要求，效益指标应尽量提炼量化指标，服务对象满意度指标要尽量明确具体的服务对象。</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加强部门履职绩效成果的收集，如通过对可以反映部门履职情况的相关数据进行横向、纵向的对比分析，充分反映年度履职情况，充分展现部门年度绩效成果、效益。重视满意度调查工作，科学合理设置服务对象满意度调查体系。明确项目实施过程中存在的不足，持续改进工作。</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2.加强预算管理及资金管理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提高预算编制的科学性、合理性，根据项目实际情况，进一步明确项目预算内容，细化项目预算测算明细，明确预算编制依据。提高预算的刚性约束，着力提高财政资源配置效率和使用效益。</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3.加强过程管理</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加强项目过程资料整理归档，完善监督管理资料，完善重点项目前期执行完成情况、相关成果、执行过程以及验收完成情况资料。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pStyle w:val="2"/>
        <w:rPr>
          <w:rFonts w:hint="eastAsia" w:ascii="仿宋_GB2312" w:hAnsi="宋体" w:eastAsia="仿宋_GB2312" w:cs="宋体"/>
          <w:color w:val="0000FF"/>
          <w:kern w:val="0"/>
          <w:sz w:val="28"/>
          <w:szCs w:val="28"/>
          <w:highlight w:val="none"/>
        </w:rPr>
      </w:pPr>
    </w:p>
    <w:p>
      <w:pPr>
        <w:pStyle w:val="2"/>
        <w:rPr>
          <w:rFonts w:hint="eastAsia" w:ascii="仿宋_GB2312" w:hAnsi="宋体" w:eastAsia="仿宋_GB2312" w:cs="宋体"/>
          <w:color w:val="0000FF"/>
          <w:kern w:val="0"/>
          <w:sz w:val="28"/>
          <w:szCs w:val="28"/>
          <w:highlight w:val="none"/>
        </w:rPr>
      </w:pPr>
    </w:p>
    <w:p>
      <w:pPr>
        <w:pStyle w:val="2"/>
        <w:rPr>
          <w:rFonts w:hint="eastAsia" w:ascii="仿宋_GB2312" w:hAnsi="宋体" w:eastAsia="仿宋_GB2312" w:cs="宋体"/>
          <w:color w:val="0000FF"/>
          <w:kern w:val="0"/>
          <w:sz w:val="28"/>
          <w:szCs w:val="28"/>
          <w:highlight w:val="none"/>
        </w:rPr>
      </w:pPr>
    </w:p>
    <w:p>
      <w:pPr>
        <w:pStyle w:val="2"/>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FF"/>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FF"/>
          <w:kern w:val="0"/>
          <w:sz w:val="32"/>
          <w:szCs w:val="32"/>
          <w:highlight w:val="none"/>
        </w:rPr>
      </w:pPr>
    </w:p>
    <w:p>
      <w:pPr>
        <w:spacing w:line="480" w:lineRule="exact"/>
        <w:rPr>
          <w:rFonts w:hint="eastAsia" w:ascii="仿宋_GB2312" w:hAnsi="宋体" w:eastAsia="仿宋_GB2312" w:cs="宋体"/>
          <w:color w:val="0000FF"/>
          <w:kern w:val="0"/>
          <w:sz w:val="32"/>
          <w:szCs w:val="32"/>
          <w:highlight w:val="none"/>
        </w:rPr>
      </w:pPr>
    </w:p>
    <w:p>
      <w:pPr>
        <w:jc w:val="both"/>
        <w:rPr>
          <w:rFonts w:hint="default" w:ascii="黑体" w:hAnsi="黑体" w:eastAsia="黑体" w:cs="Times New Roman"/>
          <w:sz w:val="30"/>
          <w:szCs w:val="30"/>
          <w:highlight w:val="none"/>
          <w:lang w:val="en-US" w:eastAsia="zh-CN"/>
        </w:rPr>
      </w:pPr>
      <w:r>
        <w:rPr>
          <w:rFonts w:hint="eastAsia" w:ascii="黑体" w:hAnsi="黑体" w:eastAsia="黑体" w:cs="Times New Roman"/>
          <w:sz w:val="30"/>
          <w:szCs w:val="30"/>
          <w:highlight w:val="none"/>
          <w:lang w:val="en-US" w:eastAsia="zh-CN"/>
        </w:rPr>
        <w:t>附件3-2</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342"/>
        <w:gridCol w:w="930"/>
        <w:gridCol w:w="170"/>
        <w:gridCol w:w="1142"/>
        <w:gridCol w:w="233"/>
        <w:gridCol w:w="1791"/>
        <w:gridCol w:w="1259"/>
        <w:gridCol w:w="3425"/>
        <w:gridCol w:w="1037"/>
        <w:gridCol w:w="914"/>
        <w:gridCol w:w="703"/>
        <w:gridCol w:w="716"/>
        <w:gridCol w:w="7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174"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6"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4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50,463.467948</w:t>
            </w:r>
          </w:p>
        </w:tc>
        <w:tc>
          <w:tcPr>
            <w:tcW w:w="9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51,492.182571</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100.00%</w:t>
            </w:r>
          </w:p>
        </w:tc>
        <w:tc>
          <w:tcPr>
            <w:tcW w:w="7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2" w:hRule="atLeast"/>
        </w:trPr>
        <w:tc>
          <w:tcPr>
            <w:tcW w:w="1100"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gridSpan w:val="2"/>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17,874.216583</w:t>
            </w:r>
          </w:p>
        </w:tc>
        <w:tc>
          <w:tcPr>
            <w:tcW w:w="91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17,146.406902</w:t>
            </w:r>
          </w:p>
        </w:tc>
        <w:tc>
          <w:tcPr>
            <w:tcW w:w="70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100.00%</w:t>
            </w:r>
          </w:p>
        </w:tc>
        <w:tc>
          <w:tcPr>
            <w:tcW w:w="754"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32,589.251365</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34,345.775669</w:t>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5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0.000000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0.000000</w:t>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5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01" w:type="dxa"/>
            <w:gridSpan w:val="9"/>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5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27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任务名称</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指标名称</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指标内容和指标值</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年度完成情况</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分值</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得分率</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6" w:hRule="atLeast"/>
        </w:trPr>
        <w:tc>
          <w:tcPr>
            <w:tcW w:w="7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整体绩效目标实现情况（60分）</w:t>
            </w: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安全应急管理</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公共安全管理组织协调、辖区安全维稳、综合治理、重点安保、重点区域、突发应急等方面工作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通过开展辖区安全维稳工作，做好综合治理、重点安保、重点区域、突发应急等方面工作，提升辖区群众安全感和安全防范意识；保障辖区不发生涉恐维稳等事件，维护辖区稳定和谐</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切实做好汛期的汛情应对工作，为镇防汛指挥部部分应急救援任务的成员单位购置防汛物资674个。建设镇域内电动自行车集中充电设施，保障人民群众生命财产安全，实现安全充电。做好规范化队伍建设，提高生产经营单位对安全生产工作重视度。通过开展对垃圾中转站的运行管理工作以及生活垃圾清运工作，保障镇域内产生的生活垃圾日产日清，营造洁净、整齐、美丽的人居环境。做好镇政府和党群服务中心秩序维护工作，印制新修订行政处罚文书模板，保障执法部门日常工作开展。完成对镇域内乡村公路进行养护，保障居民出行安全。</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94.67%</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4"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公共综合管理</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法律政策宣传、镇域内管理整治、接诉即办等工作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通过开展法律政策宣传、镇域内管理整治、接诉即办等工作，强化瀛海镇综合管理，推动瀛海镇管理工作更加科学化、规范化和标准化，增强辖区居民的幸福感、获得感。</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对镇域内居民开展法律、法规的宣传培训，提高居民法律意识。对2条镇域背街小巷环境进行精细化治理，提升背街小巷的环境水平。治理提升区域面积18000㎡，提升原姜场村周边环境，减少裸露土地面积，有效控制南海子公园空气质量监测站点周边一公里范围内扬尘污染源。治理提升区域面积68431.4㎡，提升社区周边环境，减少裸露土地面积，有效控制南海家园七里空气质量监测站点周边一公里范围内扬尘污染源。完成了接诉即办奖励经费以及专项资金的发放。通过开展对外宣传活动，完成了65篇信息发布，信息被北京电视台报道2篇。</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98.67%</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社会事务管理</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民生、养老、助残、拥军、卫生等各项社会事务管理工作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通过开展民生、养老、助残、拥军、卫生等各项社会事务管理工作，构筑基层治理体系，更好地服务辖区居民，提升居民的归属感、幸福感。建立镇级“枢纽型”社会组织工作体系，培育、指导、监督社区社会组织，加强社区标准化建设。</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即时为社救对象、见义勇为人员发放养老院住院费、集中供暖补贴、清洁能源补贴、两节慰问金。通过对镇域内残疾人情况进行需求调查，共为1235人发放补助，应补尽补率100%。在春节前，向96位重残人员发放补贴，提升残疾人的生活质量及对生活的信心。为8名瀛海镇户籍义务兵发放义务兵奖励金，为优抚对象发放医疗救助金、取暖补贴。为957名瀛海户籍退役军人发放慰问品，为39名优抚对象、现役义务兵家属发放慰问品。通过对406名适龄女性进行体检，完成瀛海镇三分之一适龄女性的两癌筛查和长效体检工作。完成基本药物制度补助经费发放，保障地区百姓基本医疗服务，降低百姓就医成本，实现对6名乡村医生的补助发放。</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96.00%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1"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2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精神文明建设</w:t>
            </w:r>
          </w:p>
        </w:tc>
        <w:tc>
          <w:tcPr>
            <w:tcW w:w="131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统筹做好辖区党建、组织人事、精神文明建设、人大、妇联等工作</w:t>
            </w:r>
          </w:p>
        </w:tc>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统筹辖区党建、组织人事、精神文明建设、人大、妇联工作，为瀛海镇提供后勤保障，推动瀛海镇工作开展，保障机关正常运转。</w:t>
            </w:r>
          </w:p>
        </w:tc>
        <w:tc>
          <w:tcPr>
            <w:tcW w:w="4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瀛海社区报”公众号每周推送一次视频信息，记录群众生活的幸福样态。“瀛海爱生活”微信公众号每个工作日推送一次公众号信息，为居民提供社区信息,宣扬社区正能量。编写《瀛海镇社区志》，购置宣传提示牌、展板、条幅、小区平面图册等，覆盖16个社区、社区党委完成日常工作和宣传活动。为基层治理体系和治理能力现代化提供扎实的史料依据和参考借鉴。开展大兴区庆祝人民代表大会成立70周年活动，宣传人民代表大会制度优势，展示大兴人大发展生动实践，进一步激发全区人民的政治热情。通过制作1000册人代会培训材料，开展活动，提升人大代表履职能力。慰问30名贫困妇女、困境儿童，及时传递关心和关爱，提高妇女儿童幸福感。开展10余次重要及传统节日的庆祝活动，制作5份妇女报，丰富群众生活，弘扬中华传统文化。</w:t>
            </w:r>
          </w:p>
        </w:tc>
        <w:tc>
          <w:tcPr>
            <w:tcW w:w="26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95.33%</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9292" w:type="dxa"/>
            <w:gridSpan w:val="8"/>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小计</w:t>
            </w:r>
          </w:p>
        </w:tc>
        <w:tc>
          <w:tcPr>
            <w:tcW w:w="265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0"/>
                <w:szCs w:val="20"/>
                <w:u w:val="none"/>
                <w:lang w:val="en-US" w:eastAsia="zh-CN" w:bidi="ar"/>
              </w:rPr>
              <w:t>60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kern w:val="0"/>
                <w:sz w:val="20"/>
                <w:szCs w:val="20"/>
                <w:u w:val="none"/>
                <w:lang w:val="en-US" w:eastAsia="zh-CN" w:bidi="ar"/>
              </w:rPr>
              <w:t xml:space="preserve">57.70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50.00%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75.00%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34.99%</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2.04%</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100.00%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0"/>
                <w:szCs w:val="20"/>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0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01" w:type="dxa"/>
            <w:gridSpan w:val="9"/>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0"/>
                <w:szCs w:val="20"/>
                <w:u w:val="none"/>
                <w:lang w:val="en-US" w:eastAsia="zh-CN" w:bidi="ar"/>
              </w:rPr>
              <w:t xml:space="preserve">18.50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0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96.20</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auto"/>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auto"/>
          <w:kern w:val="0"/>
          <w:sz w:val="24"/>
          <w:szCs w:val="24"/>
          <w:highlight w:val="none"/>
          <w:u w:val="none"/>
          <w:lang w:val="en-US" w:eastAsia="zh-CN" w:bidi="ar"/>
        </w:rPr>
        <w:t>第一步：</w:t>
      </w:r>
      <w:r>
        <w:rPr>
          <w:rFonts w:hint="eastAsia" w:ascii="仿宋_GB2312" w:hAnsi="仿宋_GB2312" w:eastAsia="仿宋_GB2312" w:cs="仿宋_GB2312"/>
          <w:i w:val="0"/>
          <w:iCs w:val="0"/>
          <w:color w:val="auto"/>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auto"/>
          <w:kern w:val="0"/>
          <w:sz w:val="24"/>
          <w:szCs w:val="24"/>
          <w:highlight w:val="none"/>
          <w:u w:val="none"/>
          <w:lang w:val="en-US" w:eastAsia="zh-CN" w:bidi="ar"/>
        </w:rPr>
        <w:t>第二步：</w:t>
      </w:r>
      <w:r>
        <w:rPr>
          <w:rFonts w:hint="eastAsia" w:ascii="仿宋_GB2312" w:hAnsi="仿宋_GB2312" w:eastAsia="仿宋_GB2312" w:cs="仿宋_GB2312"/>
          <w:i w:val="0"/>
          <w:iCs w:val="0"/>
          <w:color w:val="auto"/>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auto"/>
          <w:kern w:val="0"/>
          <w:sz w:val="24"/>
          <w:szCs w:val="24"/>
          <w:highlight w:val="none"/>
          <w:u w:val="none"/>
          <w:lang w:val="en-US" w:eastAsia="zh-CN" w:bidi="ar"/>
        </w:rPr>
        <w:t>第三步：</w:t>
      </w:r>
      <w:r>
        <w:rPr>
          <w:rFonts w:hint="eastAsia" w:ascii="仿宋_GB2312" w:hAnsi="仿宋_GB2312" w:eastAsia="仿宋_GB2312" w:cs="仿宋_GB2312"/>
          <w:i w:val="0"/>
          <w:iCs w:val="0"/>
          <w:color w:val="auto"/>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auto"/>
          <w:kern w:val="0"/>
          <w:sz w:val="24"/>
          <w:szCs w:val="24"/>
          <w:highlight w:val="none"/>
          <w:u w:val="none"/>
          <w:lang w:val="en-US" w:eastAsia="zh-CN" w:bidi="ar"/>
        </w:rPr>
        <w:t>第四步：</w:t>
      </w:r>
      <w:r>
        <w:rPr>
          <w:rFonts w:hint="eastAsia" w:ascii="仿宋_GB2312" w:hAnsi="仿宋_GB2312" w:eastAsia="仿宋_GB2312" w:cs="仿宋_GB2312"/>
          <w:i w:val="0"/>
          <w:iCs w:val="0"/>
          <w:color w:val="auto"/>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auto"/>
          <w:kern w:val="0"/>
          <w:sz w:val="24"/>
          <w:szCs w:val="24"/>
          <w:highlight w:val="none"/>
          <w:u w:val="none"/>
          <w:lang w:val="en-US" w:eastAsia="zh-CN" w:bidi="ar"/>
        </w:rPr>
        <w:t>①</w:t>
      </w:r>
      <w:r>
        <w:rPr>
          <w:rFonts w:hint="eastAsia" w:ascii="仿宋_GB2312" w:hAnsi="仿宋_GB2312" w:eastAsia="仿宋_GB2312" w:cs="仿宋_GB2312"/>
          <w:color w:val="auto"/>
          <w:sz w:val="24"/>
          <w:szCs w:val="24"/>
          <w:highlight w:val="none"/>
          <w:lang w:val="en-US" w:eastAsia="zh-CN"/>
        </w:rPr>
        <w:t>若</w:t>
      </w:r>
      <w:r>
        <w:rPr>
          <w:rFonts w:hint="eastAsia" w:ascii="仿宋_GB2312" w:hAnsi="仿宋_GB2312" w:eastAsia="仿宋_GB2312" w:cs="仿宋_GB2312"/>
          <w:i w:val="0"/>
          <w:iCs w:val="0"/>
          <w:color w:val="auto"/>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auto"/>
          <w:kern w:val="0"/>
          <w:sz w:val="24"/>
          <w:szCs w:val="24"/>
          <w:highlight w:val="none"/>
          <w:u w:val="none"/>
          <w:lang w:val="en-US" w:eastAsia="zh-CN" w:bidi="ar"/>
        </w:rPr>
        <w:t>②</w:t>
      </w:r>
      <w:r>
        <w:rPr>
          <w:rFonts w:hint="eastAsia" w:ascii="仿宋_GB2312" w:hAnsi="仿宋_GB2312" w:eastAsia="仿宋_GB2312" w:cs="仿宋_GB2312"/>
          <w:i w:val="0"/>
          <w:iCs w:val="0"/>
          <w:color w:val="auto"/>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auto"/>
          <w:kern w:val="0"/>
          <w:sz w:val="24"/>
          <w:szCs w:val="24"/>
          <w:highlight w:val="none"/>
          <w:u w:val="none"/>
          <w:lang w:val="en-US" w:eastAsia="zh-CN" w:bidi="ar"/>
        </w:rPr>
        <w:t>③</w:t>
      </w:r>
      <w:r>
        <w:rPr>
          <w:rFonts w:hint="eastAsia" w:ascii="仿宋_GB2312" w:hAnsi="仿宋_GB2312" w:eastAsia="仿宋_GB2312" w:cs="仿宋_GB2312"/>
          <w:i w:val="0"/>
          <w:iCs w:val="0"/>
          <w:color w:val="auto"/>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pageBreakBefore w:val="0"/>
        <w:widowControl w:val="0"/>
        <w:kinsoku/>
        <w:wordWrap/>
        <w:overflowPunct/>
        <w:topLinePunct w:val="0"/>
        <w:autoSpaceDE/>
        <w:autoSpaceDN/>
        <w:bidi w:val="0"/>
        <w:spacing w:beforeAutospacing="0" w:afterAutospacing="0" w:line="560" w:lineRule="exact"/>
        <w:jc w:val="center"/>
        <w:textAlignment w:val="auto"/>
        <w:rPr>
          <w:rFonts w:hint="eastAsia" w:ascii="方正小标宋简体" w:hAnsi="方正小标宋简体" w:eastAsia="方正小标宋简体" w:cs="方正小标宋简体"/>
          <w:b w:val="0"/>
          <w:bCs w:val="0"/>
          <w:sz w:val="44"/>
          <w:szCs w:val="44"/>
          <w:highlight w:val="none"/>
        </w:rPr>
      </w:pPr>
      <w:r>
        <w:rPr>
          <w:rFonts w:hint="eastAsia" w:ascii="楷体_GB2312" w:hAnsi="楷体_GB2312" w:eastAsia="楷体_GB2312" w:cs="楷体_GB2312"/>
          <w:b/>
          <w:bCs/>
          <w:color w:val="0000FF"/>
          <w:sz w:val="44"/>
          <w:szCs w:val="44"/>
          <w:highlight w:val="none"/>
        </w:rPr>
        <w:br w:type="page"/>
      </w:r>
      <w:r>
        <w:rPr>
          <w:rFonts w:hint="eastAsia" w:ascii="方正小标宋简体" w:hAnsi="方正小标宋简体" w:eastAsia="方正小标宋简体" w:cs="方正小标宋简体"/>
          <w:b w:val="0"/>
          <w:bCs w:val="0"/>
          <w:sz w:val="32"/>
          <w:szCs w:val="32"/>
          <w:highlight w:val="none"/>
          <w:lang w:eastAsia="zh-CN"/>
        </w:rPr>
        <w:t>项目支出部门绩效评价报告</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Times New Roman" w:eastAsia="仿宋_GB2312" w:cs="Times New Roman"/>
          <w:bCs w:val="0"/>
          <w:kern w:val="44"/>
          <w:sz w:val="28"/>
          <w:szCs w:val="28"/>
          <w:lang w:val="en-US" w:eastAsia="zh-CN" w:bidi="ar-SA"/>
        </w:rPr>
      </w:pP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Times New Roman" w:eastAsia="仿宋_GB2312" w:cs="Times New Roman"/>
          <w:bCs w:val="0"/>
          <w:kern w:val="44"/>
          <w:sz w:val="28"/>
          <w:szCs w:val="28"/>
          <w:lang w:val="en-US" w:eastAsia="zh-CN" w:bidi="ar-SA"/>
        </w:rPr>
      </w:pPr>
      <w:r>
        <w:rPr>
          <w:rFonts w:hint="eastAsia" w:ascii="仿宋_GB2312" w:hAnsi="Times New Roman" w:eastAsia="仿宋_GB2312" w:cs="Times New Roman"/>
          <w:bCs w:val="0"/>
          <w:kern w:val="44"/>
          <w:sz w:val="28"/>
          <w:szCs w:val="28"/>
          <w:lang w:val="en-US" w:eastAsia="zh-CN" w:bidi="ar-SA"/>
        </w:rPr>
        <w:t>202</w:t>
      </w:r>
      <w:r>
        <w:rPr>
          <w:rFonts w:hint="eastAsia" w:ascii="仿宋_GB2312" w:eastAsia="仿宋_GB2312" w:cs="Times New Roman"/>
          <w:bCs w:val="0"/>
          <w:kern w:val="44"/>
          <w:sz w:val="28"/>
          <w:szCs w:val="28"/>
          <w:lang w:val="en-US" w:eastAsia="zh-CN" w:bidi="ar-SA"/>
        </w:rPr>
        <w:t>4</w:t>
      </w:r>
      <w:r>
        <w:rPr>
          <w:rFonts w:hint="eastAsia" w:ascii="仿宋_GB2312" w:hAnsi="Times New Roman" w:eastAsia="仿宋_GB2312" w:cs="Times New Roman"/>
          <w:bCs w:val="0"/>
          <w:kern w:val="44"/>
          <w:sz w:val="28"/>
          <w:szCs w:val="28"/>
          <w:lang w:val="en-US" w:eastAsia="zh-CN" w:bidi="ar-SA"/>
        </w:rPr>
        <w:t>年度</w:t>
      </w:r>
      <w:r>
        <w:rPr>
          <w:rFonts w:hint="eastAsia" w:ascii="仿宋_GB2312" w:eastAsia="仿宋_GB2312" w:cs="Times New Roman"/>
          <w:bCs w:val="0"/>
          <w:kern w:val="44"/>
          <w:sz w:val="28"/>
          <w:szCs w:val="28"/>
          <w:lang w:val="en-US" w:eastAsia="zh-CN" w:bidi="ar-SA"/>
        </w:rPr>
        <w:t>我镇</w:t>
      </w:r>
      <w:r>
        <w:rPr>
          <w:rFonts w:hint="eastAsia" w:ascii="仿宋_GB2312" w:hAnsi="Times New Roman" w:eastAsia="仿宋_GB2312" w:cs="Times New Roman"/>
          <w:bCs w:val="0"/>
          <w:kern w:val="44"/>
          <w:sz w:val="28"/>
          <w:szCs w:val="28"/>
          <w:lang w:val="en-US" w:eastAsia="zh-CN" w:bidi="ar-SA"/>
        </w:rPr>
        <w:t>组织开展了项目支出财政评价，评价情况如下：</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ascii="黑体" w:hAnsi="黑体" w:eastAsia="黑体"/>
          <w:b w:val="0"/>
          <w:sz w:val="28"/>
          <w:szCs w:val="28"/>
        </w:rPr>
      </w:pPr>
      <w:bookmarkStart w:id="0" w:name="_Toc15919"/>
      <w:bookmarkStart w:id="1" w:name="_Toc455492203"/>
      <w:r>
        <w:rPr>
          <w:rFonts w:ascii="黑体" w:hAnsi="黑体" w:eastAsia="黑体"/>
          <w:b w:val="0"/>
          <w:sz w:val="28"/>
          <w:szCs w:val="28"/>
        </w:rPr>
        <w:t>一、</w:t>
      </w:r>
      <w:r>
        <w:rPr>
          <w:rFonts w:hint="eastAsia" w:ascii="黑体" w:hAnsi="黑体" w:eastAsia="黑体"/>
          <w:b w:val="0"/>
          <w:sz w:val="28"/>
          <w:szCs w:val="28"/>
        </w:rPr>
        <w:t>基本情况</w:t>
      </w:r>
      <w:bookmarkEnd w:id="0"/>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2" w:name="_Toc18434"/>
      <w:r>
        <w:rPr>
          <w:rFonts w:hint="eastAsia" w:ascii="楷体_GB2312" w:hAnsi="楷体_GB2312" w:eastAsia="楷体_GB2312" w:cs="楷体_GB2312"/>
          <w:b w:val="0"/>
          <w:bCs w:val="0"/>
          <w:sz w:val="28"/>
          <w:szCs w:val="28"/>
        </w:rPr>
        <w:t>（一）项目概况</w:t>
      </w:r>
      <w:bookmarkEnd w:id="1"/>
      <w:bookmarkEnd w:id="2"/>
    </w:p>
    <w:p>
      <w:pPr>
        <w:pStyle w:val="25"/>
        <w:pageBreakBefore w:val="0"/>
        <w:widowControl w:val="0"/>
        <w:kinsoku/>
        <w:wordWrap/>
        <w:overflowPunct/>
        <w:topLinePunct w:val="0"/>
        <w:autoSpaceDE/>
        <w:autoSpaceDN/>
        <w:bidi w:val="0"/>
        <w:spacing w:beforeAutospacing="0" w:afterAutospacing="0" w:line="560" w:lineRule="exact"/>
        <w:ind w:firstLine="640"/>
        <w:textAlignment w:val="auto"/>
        <w:rPr>
          <w:rFonts w:hint="eastAsia" w:ascii="仿宋_GB2312" w:eastAsia="仿宋_GB2312"/>
          <w:bCs/>
          <w:kern w:val="44"/>
          <w:sz w:val="28"/>
          <w:szCs w:val="28"/>
        </w:rPr>
      </w:pPr>
      <w:r>
        <w:rPr>
          <w:rFonts w:hint="eastAsia" w:ascii="仿宋_GB2312" w:eastAsia="仿宋_GB2312"/>
          <w:bCs/>
          <w:kern w:val="44"/>
          <w:sz w:val="28"/>
          <w:szCs w:val="28"/>
        </w:rPr>
        <w:t>1.项目背景</w:t>
      </w:r>
    </w:p>
    <w:p>
      <w:pPr>
        <w:pStyle w:val="13"/>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仿宋_GB2312"/>
          <w:kern w:val="44"/>
          <w:sz w:val="28"/>
          <w:szCs w:val="28"/>
        </w:rPr>
      </w:pPr>
      <w:r>
        <w:rPr>
          <w:rFonts w:hint="eastAsia" w:ascii="仿宋_GB2312"/>
          <w:bCs w:val="0"/>
          <w:kern w:val="44"/>
          <w:sz w:val="28"/>
          <w:szCs w:val="28"/>
          <w:lang w:eastAsia="zh-CN"/>
        </w:rPr>
        <w:t>该项目</w:t>
      </w:r>
      <w:r>
        <w:rPr>
          <w:rFonts w:hint="eastAsia" w:ascii="仿宋_GB2312"/>
          <w:bCs w:val="0"/>
          <w:kern w:val="44"/>
          <w:sz w:val="28"/>
          <w:szCs w:val="28"/>
        </w:rPr>
        <w:t>依据《中共北京市大兴区瀛海镇委员会瀛海镇创建国家卫生区综合工作方案》（兴瀛发〔2022〕12号）、《病媒生物综合管理技术规范城镇》（GB/T27775—2011）、《病媒生物密度控制水平——（蚊蝇鼠蟑）》等文件要求设立，为持续有效降低“四害”密度，达到“国家卫生镇”创建病媒生物防制（蚊蝇鼠蟑）C级标准，北京市大兴区瀛海镇人民政府</w:t>
      </w:r>
      <w:r>
        <w:rPr>
          <w:rFonts w:hint="eastAsia" w:ascii="仿宋_GB2312"/>
          <w:bCs w:val="0"/>
          <w:kern w:val="44"/>
          <w:sz w:val="28"/>
          <w:szCs w:val="28"/>
          <w:lang w:eastAsia="zh-CN"/>
        </w:rPr>
        <w:t>（</w:t>
      </w:r>
      <w:r>
        <w:rPr>
          <w:rFonts w:hint="eastAsia" w:ascii="仿宋_GB2312"/>
          <w:bCs w:val="0"/>
          <w:kern w:val="44"/>
          <w:sz w:val="28"/>
          <w:szCs w:val="28"/>
          <w:lang w:val="en-US" w:eastAsia="zh-CN"/>
        </w:rPr>
        <w:t>以下简称“</w:t>
      </w:r>
      <w:r>
        <w:rPr>
          <w:rFonts w:hint="eastAsia" w:ascii="仿宋_GB2312"/>
          <w:bCs w:val="0"/>
          <w:kern w:val="44"/>
          <w:sz w:val="28"/>
          <w:szCs w:val="28"/>
        </w:rPr>
        <w:t>瀛海镇</w:t>
      </w:r>
      <w:r>
        <w:rPr>
          <w:rFonts w:hint="eastAsia" w:ascii="仿宋_GB2312"/>
          <w:bCs w:val="0"/>
          <w:kern w:val="44"/>
          <w:sz w:val="28"/>
          <w:szCs w:val="28"/>
          <w:lang w:val="en-US" w:eastAsia="zh-CN"/>
        </w:rPr>
        <w:t>”</w:t>
      </w:r>
      <w:r>
        <w:rPr>
          <w:rFonts w:hint="eastAsia" w:ascii="仿宋_GB2312"/>
          <w:bCs w:val="0"/>
          <w:kern w:val="44"/>
          <w:sz w:val="28"/>
          <w:szCs w:val="28"/>
          <w:lang w:eastAsia="zh-CN"/>
        </w:rPr>
        <w:t>）需</w:t>
      </w:r>
      <w:r>
        <w:rPr>
          <w:rFonts w:hint="eastAsia" w:ascii="仿宋_GB2312"/>
          <w:bCs w:val="0"/>
          <w:kern w:val="44"/>
          <w:sz w:val="28"/>
          <w:szCs w:val="28"/>
        </w:rPr>
        <w:t>聘用专业病媒防制机构对全镇公共区域外环境进行规范防制</w:t>
      </w:r>
      <w:r>
        <w:rPr>
          <w:rFonts w:hint="eastAsia" w:ascii="仿宋_GB2312"/>
          <w:kern w:val="44"/>
          <w:sz w:val="28"/>
          <w:szCs w:val="28"/>
        </w:rPr>
        <w:t>。</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2.主要内容及实施情况</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Times New Roman" w:eastAsia="仿宋_GB2312" w:cs="Times New Roman"/>
          <w:bCs/>
          <w:kern w:val="44"/>
          <w:sz w:val="28"/>
          <w:szCs w:val="28"/>
          <w:lang w:eastAsia="zh-CN"/>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lang w:val="en-US" w:eastAsia="zh-CN"/>
        </w:rPr>
        <w:t>由</w:t>
      </w:r>
      <w:r>
        <w:rPr>
          <w:rFonts w:hint="eastAsia" w:ascii="仿宋_GB2312" w:eastAsia="仿宋_GB2312"/>
          <w:bCs/>
          <w:kern w:val="44"/>
          <w:sz w:val="28"/>
          <w:szCs w:val="28"/>
        </w:rPr>
        <w:t>瀛海镇申报并负责项目实施。项目实施内容与部门职责中“领导本辖区传染病防制工作，组织开展群众性卫生活动，进行预防传染病的健康教育”内容相符</w:t>
      </w:r>
      <w:r>
        <w:rPr>
          <w:rFonts w:hint="eastAsia" w:ascii="仿宋_GB2312" w:hAnsi="Times New Roman" w:eastAsia="仿宋_GB2312" w:cs="Times New Roman"/>
          <w:bCs/>
          <w:kern w:val="44"/>
          <w:sz w:val="28"/>
          <w:szCs w:val="28"/>
          <w:lang w:eastAsia="zh-CN"/>
        </w:rPr>
        <w:t>。该项目由瀛海镇负责总体统筹，项目实施主要内容为消杀服务，主要是针对大兴区瀛海镇范围内的街道、绿化带、文化广场、健身广场、公园绿地、地下管井、垃圾桶（站）、公共卫生间等公共区域外环境，开展春季、冬季灭鼠、夏季、秋季灭蚊蝇、水体灭蚊幼及地下管井灭蟑等防制工作。使防制范围内四害生物密度达到C级标准以上。有效降低四害生物对人民群众生活的滋扰，营造舒适的生活环境，并且预防四害生物传播疾病的发生，降低病媒传染疾病的风险。</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3.资金投入和使用情况</w:t>
      </w:r>
    </w:p>
    <w:p>
      <w:pPr>
        <w:pageBreakBefore w:val="0"/>
        <w:widowControl w:val="0"/>
        <w:kinsoku/>
        <w:wordWrap/>
        <w:overflowPunct/>
        <w:topLinePunct w:val="0"/>
        <w:autoSpaceDE/>
        <w:autoSpaceDN/>
        <w:bidi w:val="0"/>
        <w:spacing w:beforeAutospacing="0" w:afterAutospacing="0" w:line="560" w:lineRule="exact"/>
        <w:ind w:firstLine="640"/>
        <w:textAlignment w:val="auto"/>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eastAsia="zh-CN"/>
        </w:rPr>
        <w:t>该项目</w:t>
      </w:r>
      <w:r>
        <w:rPr>
          <w:rFonts w:hint="eastAsia" w:ascii="仿宋_GB2312" w:hAnsi="仿宋_GB2312" w:eastAsia="仿宋_GB2312" w:cs="仿宋_GB2312"/>
          <w:bCs/>
          <w:sz w:val="28"/>
          <w:szCs w:val="28"/>
          <w:highlight w:val="none"/>
        </w:rPr>
        <w:t>申报预算金额为4,334,434.46元，预算批复金额为4,334,434.46元，实际到位资金为4,334,434.46元，均为区级财政资金。截至2024年12月31日，实际支出金额为4,334,434.46元，预算执行率为100.00%。支出内容主要为病媒生物防制专项工作费用。</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3" w:name="_Toc455492205"/>
      <w:bookmarkStart w:id="4" w:name="_Toc11090"/>
      <w:r>
        <w:rPr>
          <w:rFonts w:hint="eastAsia" w:ascii="楷体_GB2312" w:hAnsi="楷体_GB2312" w:eastAsia="楷体_GB2312" w:cs="楷体_GB2312"/>
          <w:b w:val="0"/>
          <w:bCs w:val="0"/>
          <w:sz w:val="28"/>
          <w:szCs w:val="28"/>
        </w:rPr>
        <w:t>（二）绩效目标</w:t>
      </w:r>
      <w:bookmarkEnd w:id="3"/>
      <w:bookmarkEnd w:id="4"/>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总体目标为：</w:t>
      </w:r>
      <w:r>
        <w:rPr>
          <w:rFonts w:hint="eastAsia" w:ascii="仿宋_GB2312" w:hAnsi="宋体" w:eastAsia="仿宋_GB2312" w:cs="宋体"/>
          <w:kern w:val="0"/>
          <w:sz w:val="28"/>
          <w:szCs w:val="28"/>
        </w:rPr>
        <w:t>为进一步加大环境卫生整治力度，创造一个安全、卫生、舒适的生活环境，努力提升镇域人居环境卫生质量，维护群众的健康权益。</w:t>
      </w:r>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阶段性目标为：</w:t>
      </w:r>
      <w:r>
        <w:rPr>
          <w:rFonts w:hint="eastAsia" w:ascii="仿宋_GB2312" w:hAnsi="宋体" w:eastAsia="仿宋_GB2312" w:cs="宋体"/>
          <w:kern w:val="0"/>
          <w:sz w:val="28"/>
          <w:szCs w:val="28"/>
        </w:rPr>
        <w:t>为进一步加大环境卫生整治力度，创造一个安全、卫生、舒适的生活环境，努力提升镇域人居环境卫生质量，维护群众的健康权益。</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highlight w:val="none"/>
        </w:rPr>
      </w:pPr>
      <w:r>
        <w:rPr>
          <w:rFonts w:hint="eastAsia" w:ascii="仿宋_GB2312" w:hAnsi="仿宋_GB2312" w:eastAsia="仿宋_GB2312" w:cs="仿宋_GB2312"/>
          <w:bCs/>
          <w:kern w:val="44"/>
          <w:sz w:val="28"/>
          <w:szCs w:val="28"/>
          <w:highlight w:val="none"/>
        </w:rPr>
        <w:t>1.</w:t>
      </w:r>
      <w:r>
        <w:rPr>
          <w:rFonts w:hint="eastAsia" w:ascii="仿宋_GB2312" w:eastAsia="仿宋_GB2312"/>
          <w:bCs/>
          <w:kern w:val="44"/>
          <w:sz w:val="28"/>
          <w:szCs w:val="28"/>
          <w:highlight w:val="none"/>
        </w:rPr>
        <w:t>数量指标：</w:t>
      </w:r>
      <w:r>
        <w:rPr>
          <w:rFonts w:hint="eastAsia" w:ascii="仿宋_GB2312" w:hAnsi="Arial" w:eastAsia="仿宋_GB2312" w:cs="Arial"/>
          <w:bCs/>
          <w:sz w:val="28"/>
          <w:szCs w:val="28"/>
        </w:rPr>
        <w:t>病媒生物防制专项工作</w:t>
      </w:r>
      <w:r>
        <w:rPr>
          <w:rFonts w:hint="eastAsia" w:ascii="仿宋_GB2312" w:hAnsi="Arial" w:eastAsia="仿宋_GB2312" w:cs="Arial"/>
          <w:bCs/>
          <w:sz w:val="28"/>
          <w:szCs w:val="28"/>
          <w:lang w:val="en-US" w:eastAsia="zh-CN"/>
        </w:rPr>
        <w:t>=12次</w:t>
      </w:r>
      <w:r>
        <w:rPr>
          <w:rFonts w:hint="eastAsia" w:ascii="仿宋_GB2312" w:hAnsi="Arial" w:eastAsia="仿宋_GB2312" w:cs="Arial"/>
          <w:bCs/>
          <w:sz w:val="28"/>
          <w:szCs w:val="28"/>
        </w:rPr>
        <w:t>，制作各类宣传材料和宣传品≤</w:t>
      </w:r>
      <w:r>
        <w:rPr>
          <w:rFonts w:hint="eastAsia" w:ascii="仿宋_GB2312" w:hAnsi="Arial" w:eastAsia="仿宋_GB2312" w:cs="Arial"/>
          <w:bCs/>
          <w:sz w:val="28"/>
          <w:szCs w:val="28"/>
          <w:lang w:val="en-US" w:eastAsia="zh-CN"/>
        </w:rPr>
        <w:t>20万份。</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eastAsia="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2.</w:t>
      </w:r>
      <w:r>
        <w:rPr>
          <w:rFonts w:hint="eastAsia" w:ascii="仿宋_GB2312" w:eastAsia="仿宋_GB2312"/>
          <w:bCs/>
          <w:kern w:val="44"/>
          <w:sz w:val="28"/>
          <w:szCs w:val="28"/>
          <w:highlight w:val="none"/>
        </w:rPr>
        <w:t>质量指标：</w:t>
      </w:r>
      <w:r>
        <w:rPr>
          <w:rFonts w:hint="eastAsia" w:ascii="仿宋_GB2312" w:hAnsi="Arial" w:eastAsia="仿宋_GB2312" w:cs="Arial"/>
          <w:bCs/>
          <w:sz w:val="28"/>
          <w:szCs w:val="28"/>
        </w:rPr>
        <w:t>病媒生物防制专项工作四害密度达到C级以上</w:t>
      </w:r>
      <w:r>
        <w:rPr>
          <w:rFonts w:hint="eastAsia" w:ascii="仿宋_GB2312" w:hAnsi="Arial" w:eastAsia="仿宋_GB2312" w:cs="Arial"/>
          <w:bCs/>
          <w:sz w:val="28"/>
          <w:szCs w:val="28"/>
          <w:lang w:eastAsia="zh-CN"/>
        </w:rPr>
        <w:t>、制作各类宣传材料和宣传品</w:t>
      </w:r>
      <w:r>
        <w:rPr>
          <w:rFonts w:hint="eastAsia" w:ascii="仿宋_GB2312" w:hAnsi="Arial" w:eastAsia="仿宋_GB2312" w:cs="Arial"/>
          <w:bCs/>
          <w:sz w:val="28"/>
          <w:szCs w:val="28"/>
          <w:lang w:val="en-US" w:eastAsia="zh-CN"/>
        </w:rPr>
        <w:t>≥97%。</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highlight w:val="none"/>
        </w:rPr>
      </w:pPr>
      <w:r>
        <w:rPr>
          <w:rFonts w:hint="eastAsia" w:ascii="仿宋_GB2312" w:hAnsi="仿宋_GB2312" w:eastAsia="仿宋_GB2312" w:cs="仿宋_GB2312"/>
          <w:bCs/>
          <w:kern w:val="44"/>
          <w:sz w:val="28"/>
          <w:szCs w:val="28"/>
          <w:highlight w:val="none"/>
        </w:rPr>
        <w:t>3.时效指标：</w:t>
      </w:r>
      <w:r>
        <w:rPr>
          <w:rFonts w:hint="eastAsia" w:ascii="仿宋_GB2312" w:hAnsi="Arial" w:eastAsia="仿宋_GB2312" w:cs="Arial"/>
          <w:bCs/>
          <w:sz w:val="28"/>
          <w:szCs w:val="28"/>
        </w:rPr>
        <w:t>病媒生物防制专项工作</w:t>
      </w:r>
      <w:r>
        <w:rPr>
          <w:rFonts w:hint="eastAsia" w:ascii="仿宋_GB2312" w:hAnsi="Arial" w:eastAsia="仿宋_GB2312" w:cs="Arial"/>
          <w:bCs/>
          <w:sz w:val="28"/>
          <w:szCs w:val="28"/>
          <w:lang w:val="en-US" w:eastAsia="zh-CN"/>
        </w:rPr>
        <w:t>12月底，制作各类宣传材料和宣传品12月底。</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eastAsia="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4.</w:t>
      </w:r>
      <w:r>
        <w:rPr>
          <w:rFonts w:hint="eastAsia" w:ascii="仿宋_GB2312" w:eastAsia="仿宋_GB2312"/>
          <w:bCs/>
          <w:kern w:val="44"/>
          <w:sz w:val="28"/>
          <w:szCs w:val="28"/>
          <w:highlight w:val="none"/>
        </w:rPr>
        <w:t>成本指标：</w:t>
      </w:r>
      <w:r>
        <w:rPr>
          <w:rFonts w:hint="eastAsia" w:ascii="仿宋_GB2312" w:eastAsia="仿宋_GB2312"/>
          <w:bCs/>
          <w:kern w:val="44"/>
          <w:sz w:val="28"/>
          <w:szCs w:val="28"/>
          <w:highlight w:val="none"/>
          <w:lang w:val="en-US" w:eastAsia="zh-CN"/>
        </w:rPr>
        <w:t>讲座制作各类宣传材料和宣传品≤10元/张，项目预算控制总额433.443446万元，病媒生物防制专项工作≤25万元/项目。</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highlight w:val="none"/>
          <w:lang w:eastAsia="zh-CN"/>
        </w:rPr>
      </w:pPr>
      <w:r>
        <w:rPr>
          <w:rFonts w:hint="eastAsia" w:ascii="仿宋_GB2312" w:hAnsi="仿宋_GB2312" w:eastAsia="仿宋_GB2312" w:cs="仿宋_GB2312"/>
          <w:bCs/>
          <w:kern w:val="44"/>
          <w:sz w:val="28"/>
          <w:szCs w:val="28"/>
          <w:highlight w:val="none"/>
        </w:rPr>
        <w:t>5.效益指标：全面做好国家卫生区创建工作，不断提高辖区内居民“创卫”意识，进一步营造浓厚的创卫宣传氛围。</w:t>
      </w:r>
      <w:r>
        <w:rPr>
          <w:rFonts w:hint="eastAsia" w:ascii="仿宋_GB2312" w:hAnsi="仿宋_GB2312" w:eastAsia="仿宋_GB2312" w:cs="仿宋_GB2312"/>
          <w:bCs/>
          <w:kern w:val="44"/>
          <w:sz w:val="28"/>
          <w:szCs w:val="28"/>
          <w:highlight w:val="none"/>
          <w:lang w:eastAsia="zh-CN"/>
        </w:rPr>
        <w:t>营造浓厚的创卫宣传氛围、改善人居环境，提高创卫工作知晓率，降低密度。</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default" w:ascii="仿宋_GB2312" w:hAnsi="仿宋_GB2312" w:eastAsia="仿宋_GB2312" w:cs="仿宋_GB2312"/>
          <w:bCs/>
          <w:kern w:val="44"/>
          <w:sz w:val="28"/>
          <w:szCs w:val="28"/>
          <w:highlight w:val="none"/>
          <w:lang w:val="en-US" w:eastAsia="zh-CN"/>
        </w:rPr>
      </w:pPr>
      <w:r>
        <w:rPr>
          <w:rFonts w:hint="eastAsia" w:ascii="仿宋_GB2312" w:hAnsi="仿宋_GB2312" w:eastAsia="仿宋_GB2312" w:cs="仿宋_GB2312"/>
          <w:bCs/>
          <w:kern w:val="44"/>
          <w:sz w:val="28"/>
          <w:szCs w:val="28"/>
          <w:highlight w:val="none"/>
        </w:rPr>
        <w:t>6.服务对象满意度指标：群众满意度</w:t>
      </w:r>
      <w:bookmarkStart w:id="5" w:name="_Toc455492206"/>
      <w:bookmarkStart w:id="6" w:name="_Toc14649"/>
      <w:r>
        <w:rPr>
          <w:rFonts w:hint="eastAsia" w:ascii="仿宋_GB2312" w:hAnsi="仿宋_GB2312" w:eastAsia="仿宋_GB2312" w:cs="仿宋_GB2312"/>
          <w:bCs/>
          <w:kern w:val="44"/>
          <w:sz w:val="28"/>
          <w:szCs w:val="28"/>
          <w:highlight w:val="none"/>
          <w:lang w:val="en-US" w:eastAsia="zh-CN"/>
        </w:rPr>
        <w:t>100%</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黑体" w:hAnsi="黑体" w:eastAsia="黑体"/>
          <w:b/>
          <w:sz w:val="28"/>
          <w:szCs w:val="28"/>
          <w:highlight w:val="none"/>
        </w:rPr>
      </w:pPr>
      <w:r>
        <w:rPr>
          <w:rFonts w:hint="eastAsia" w:ascii="黑体" w:hAnsi="黑体" w:eastAsia="黑体"/>
          <w:b w:val="0"/>
          <w:bCs/>
          <w:sz w:val="28"/>
          <w:szCs w:val="28"/>
          <w:highlight w:val="none"/>
        </w:rPr>
        <w:t>二、</w:t>
      </w:r>
      <w:bookmarkEnd w:id="5"/>
      <w:r>
        <w:rPr>
          <w:rFonts w:hint="eastAsia" w:ascii="黑体" w:hAnsi="黑体" w:eastAsia="黑体"/>
          <w:b w:val="0"/>
          <w:bCs/>
          <w:sz w:val="28"/>
          <w:szCs w:val="28"/>
          <w:highlight w:val="none"/>
        </w:rPr>
        <w:t>绩效评价工作开展情况</w:t>
      </w:r>
      <w:bookmarkEnd w:id="6"/>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7" w:name="_Toc136459677"/>
      <w:bookmarkStart w:id="8" w:name="_Toc31090"/>
      <w:bookmarkStart w:id="9" w:name="_Toc455492207"/>
      <w:r>
        <w:rPr>
          <w:rFonts w:hint="eastAsia" w:ascii="楷体_GB2312" w:hAnsi="楷体_GB2312" w:eastAsia="楷体_GB2312" w:cs="楷体_GB2312"/>
          <w:b w:val="0"/>
          <w:bCs w:val="0"/>
          <w:sz w:val="28"/>
          <w:szCs w:val="28"/>
        </w:rPr>
        <w:t>（一）绩效评价目的、对象和范围</w:t>
      </w:r>
      <w:bookmarkEnd w:id="7"/>
      <w:bookmarkEnd w:id="8"/>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为加强预算绩效管理，强化支出责任，提高财政资金使用效益，对</w:t>
      </w:r>
      <w:r>
        <w:rPr>
          <w:rFonts w:hint="eastAsia" w:ascii="仿宋_GB2312" w:eastAsia="仿宋_GB2312"/>
          <w:bCs/>
          <w:kern w:val="44"/>
          <w:sz w:val="28"/>
          <w:szCs w:val="28"/>
          <w:lang w:eastAsia="zh-CN"/>
        </w:rPr>
        <w:t>瀛海镇</w:t>
      </w:r>
      <w:r>
        <w:rPr>
          <w:rFonts w:hint="eastAsia" w:ascii="仿宋_GB2312" w:eastAsia="仿宋_GB2312"/>
          <w:bCs/>
          <w:kern w:val="44"/>
          <w:sz w:val="28"/>
          <w:szCs w:val="28"/>
        </w:rPr>
        <w:t>“</w:t>
      </w:r>
      <w:r>
        <w:rPr>
          <w:rFonts w:hint="eastAsia" w:ascii="仿宋_GB2312" w:eastAsia="仿宋_GB2312"/>
          <w:color w:val="000000"/>
          <w:kern w:val="0"/>
          <w:sz w:val="28"/>
          <w:szCs w:val="28"/>
          <w:lang w:eastAsia="zh-CN"/>
        </w:rPr>
        <w:t>教科文体病媒生物防制工作</w:t>
      </w:r>
      <w:r>
        <w:rPr>
          <w:rFonts w:hint="eastAsia" w:ascii="仿宋_GB2312" w:eastAsia="仿宋_GB2312"/>
          <w:bCs/>
          <w:kern w:val="44"/>
          <w:sz w:val="28"/>
          <w:szCs w:val="28"/>
        </w:rPr>
        <w:t>”实施绩效评价，进一步总结和分析项目资金的实施效果，检验财政支出预期目标实现程度，考核财政支出效率和综合效果。</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0" w:name="_Toc1706"/>
      <w:bookmarkStart w:id="11" w:name="_Toc136459678"/>
      <w:r>
        <w:rPr>
          <w:rFonts w:hint="eastAsia" w:ascii="楷体_GB2312" w:hAnsi="楷体_GB2312" w:eastAsia="楷体_GB2312" w:cs="楷体_GB2312"/>
          <w:b w:val="0"/>
          <w:bCs w:val="0"/>
          <w:sz w:val="28"/>
          <w:szCs w:val="28"/>
        </w:rPr>
        <w:t>（二）绩效评价原则、评价指标体系、评价方法、评价标准等</w:t>
      </w:r>
      <w:bookmarkEnd w:id="10"/>
      <w:bookmarkEnd w:id="11"/>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rPr>
      </w:pPr>
      <w:r>
        <w:rPr>
          <w:rFonts w:hint="eastAsia" w:ascii="仿宋_GB2312" w:eastAsia="仿宋_GB2312"/>
          <w:bCs/>
          <w:kern w:val="44"/>
          <w:sz w:val="28"/>
          <w:szCs w:val="28"/>
        </w:rPr>
        <w:t>本次绩效评价遵循“客观、公正、科学、规范”的原则，采取定性与定量相结合的方式，结合项目的特点，采用案卷研究法、目标预定与实施效果比较法等方法，定性与定量相结合，从项目决策、项目过程、项目产出、项目效益4个方面对</w:t>
      </w:r>
      <w:r>
        <w:rPr>
          <w:rFonts w:hint="eastAsia" w:ascii="仿宋_GB2312" w:eastAsia="仿宋_GB2312"/>
          <w:bCs/>
          <w:kern w:val="44"/>
          <w:sz w:val="28"/>
          <w:szCs w:val="28"/>
          <w:lang w:eastAsia="zh-CN"/>
        </w:rPr>
        <w:t>该项目</w:t>
      </w:r>
      <w:r>
        <w:rPr>
          <w:rFonts w:hint="eastAsia" w:ascii="仿宋_GB2312" w:eastAsia="仿宋_GB2312"/>
          <w:bCs/>
          <w:kern w:val="44"/>
          <w:sz w:val="28"/>
          <w:szCs w:val="28"/>
        </w:rPr>
        <w:t>开展绩效评价。</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2" w:name="_Toc4682"/>
      <w:r>
        <w:rPr>
          <w:rFonts w:hint="eastAsia" w:ascii="楷体_GB2312" w:hAnsi="楷体_GB2312" w:eastAsia="楷体_GB2312" w:cs="楷体_GB2312"/>
          <w:b w:val="0"/>
          <w:bCs w:val="0"/>
          <w:sz w:val="28"/>
          <w:szCs w:val="28"/>
        </w:rPr>
        <w:t>（三）绩效评价工作过程</w:t>
      </w:r>
      <w:bookmarkEnd w:id="12"/>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rPr>
      </w:pPr>
      <w:r>
        <w:rPr>
          <w:rFonts w:hint="eastAsia" w:ascii="仿宋_GB2312" w:eastAsia="仿宋_GB2312"/>
          <w:bCs/>
          <w:kern w:val="44"/>
          <w:sz w:val="28"/>
          <w:szCs w:val="28"/>
        </w:rPr>
        <w:t>本次绩效评价</w:t>
      </w:r>
      <w:r>
        <w:rPr>
          <w:rFonts w:hint="eastAsia" w:ascii="仿宋_GB2312" w:hAnsi="仿宋_GB2312" w:eastAsia="仿宋_GB2312" w:cs="仿宋_GB2312"/>
          <w:bCs/>
          <w:kern w:val="44"/>
          <w:sz w:val="28"/>
          <w:szCs w:val="28"/>
        </w:rPr>
        <w:t>依据项目资料</w:t>
      </w:r>
      <w:r>
        <w:rPr>
          <w:rFonts w:hint="eastAsia" w:ascii="仿宋_GB2312" w:hAnsi="仿宋_GB2312" w:eastAsia="仿宋_GB2312" w:cs="仿宋_GB2312"/>
          <w:bCs/>
          <w:kern w:val="44"/>
          <w:sz w:val="28"/>
          <w:szCs w:val="28"/>
          <w:lang w:val="en-US" w:eastAsia="zh-CN"/>
        </w:rPr>
        <w:t>形成绩效评价报告</w:t>
      </w:r>
      <w:r>
        <w:rPr>
          <w:rFonts w:hint="eastAsia" w:ascii="仿宋_GB2312" w:hAnsi="仿宋_GB2312" w:eastAsia="仿宋_GB2312" w:cs="仿宋_GB2312"/>
          <w:bCs/>
          <w:kern w:val="44"/>
          <w:sz w:val="28"/>
          <w:szCs w:val="28"/>
        </w:rPr>
        <w:t>，</w:t>
      </w:r>
      <w:r>
        <w:rPr>
          <w:rFonts w:hint="eastAsia" w:ascii="仿宋_GB2312" w:hAnsi="仿宋_GB2312" w:eastAsia="仿宋_GB2312" w:cs="仿宋_GB2312"/>
          <w:bCs/>
          <w:kern w:val="44"/>
          <w:sz w:val="28"/>
          <w:szCs w:val="28"/>
          <w:lang w:val="en-US" w:eastAsia="zh-CN"/>
        </w:rPr>
        <w:t>经</w:t>
      </w:r>
      <w:r>
        <w:rPr>
          <w:rFonts w:hint="eastAsia" w:ascii="仿宋_GB2312" w:hAnsi="仿宋_GB2312" w:eastAsia="仿宋_GB2312" w:cs="仿宋_GB2312"/>
          <w:bCs/>
          <w:kern w:val="44"/>
          <w:sz w:val="28"/>
          <w:szCs w:val="28"/>
        </w:rPr>
        <w:t>征</w:t>
      </w:r>
      <w:r>
        <w:rPr>
          <w:rFonts w:hint="eastAsia" w:ascii="仿宋_GB2312" w:hAnsi="仿宋_GB2312" w:eastAsia="仿宋_GB2312" w:cs="仿宋_GB2312"/>
          <w:bCs/>
          <w:kern w:val="44"/>
          <w:sz w:val="28"/>
          <w:szCs w:val="28"/>
          <w:lang w:val="en-US" w:eastAsia="zh-CN"/>
        </w:rPr>
        <w:t>求各方意见</w:t>
      </w:r>
      <w:r>
        <w:rPr>
          <w:rFonts w:hint="eastAsia" w:ascii="仿宋_GB2312" w:hAnsi="仿宋_GB2312" w:eastAsia="仿宋_GB2312" w:cs="仿宋_GB2312"/>
          <w:bCs/>
          <w:kern w:val="44"/>
          <w:sz w:val="28"/>
          <w:szCs w:val="28"/>
        </w:rPr>
        <w:t>，形成最终报告。</w:t>
      </w:r>
    </w:p>
    <w:bookmarkEnd w:id="9"/>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ascii="黑体" w:hAnsi="黑体" w:eastAsia="黑体"/>
          <w:b w:val="0"/>
          <w:sz w:val="28"/>
          <w:szCs w:val="28"/>
          <w:highlight w:val="none"/>
        </w:rPr>
      </w:pPr>
      <w:bookmarkStart w:id="13" w:name="_Toc16065"/>
      <w:r>
        <w:rPr>
          <w:rFonts w:hint="eastAsia" w:ascii="黑体" w:hAnsi="黑体" w:eastAsia="黑体"/>
          <w:b w:val="0"/>
          <w:sz w:val="28"/>
          <w:szCs w:val="28"/>
          <w:highlight w:val="none"/>
        </w:rPr>
        <w:t>三、综合评价情况及评价结论</w:t>
      </w:r>
      <w:bookmarkEnd w:id="13"/>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4" w:name="_Toc20425"/>
      <w:r>
        <w:rPr>
          <w:rFonts w:hint="eastAsia" w:ascii="楷体_GB2312" w:hAnsi="楷体_GB2312" w:eastAsia="楷体_GB2312" w:cs="楷体_GB2312"/>
          <w:b w:val="0"/>
          <w:bCs w:val="0"/>
          <w:sz w:val="28"/>
          <w:szCs w:val="28"/>
        </w:rPr>
        <w:t>（一）综合评价情况</w:t>
      </w:r>
      <w:bookmarkEnd w:id="14"/>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仿宋_GB2312" w:hAnsi="Times New Roman" w:eastAsia="仿宋_GB2312" w:cs="Times New Roman"/>
          <w:b w:val="0"/>
          <w:bCs/>
          <w:kern w:val="44"/>
          <w:sz w:val="28"/>
          <w:szCs w:val="28"/>
          <w:lang w:val="en-US" w:eastAsia="zh-CN" w:bidi="ar-SA"/>
        </w:rPr>
      </w:pPr>
      <w:r>
        <w:rPr>
          <w:rFonts w:hint="eastAsia" w:ascii="仿宋_GB2312" w:hAnsi="Times New Roman" w:eastAsia="仿宋_GB2312" w:cs="Times New Roman"/>
          <w:b w:val="0"/>
          <w:bCs/>
          <w:kern w:val="44"/>
          <w:sz w:val="28"/>
          <w:szCs w:val="28"/>
          <w:lang w:val="en-US" w:eastAsia="zh-CN" w:bidi="ar-SA"/>
        </w:rPr>
        <w:t>经专家评议，该项目综合评价得分85.00分，其中：项目决策得分为7.50分、项目过程得分为19.00分、项目产出得分为35.50分、项目效益得分为23.00分，绩效级别评定为“良”。</w:t>
      </w:r>
      <w:bookmarkStart w:id="15" w:name="_Toc3098"/>
      <w:bookmarkStart w:id="16" w:name="_Toc455492209"/>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（二）评价结论</w:t>
      </w:r>
      <w:bookmarkEnd w:id="15"/>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仿宋_GB2312" w:hAnsi="仿宋_GB2312" w:eastAsia="仿宋_GB2312" w:cs="仿宋_GB2312"/>
          <w:kern w:val="44"/>
          <w:sz w:val="28"/>
          <w:szCs w:val="28"/>
        </w:rPr>
      </w:pPr>
      <w:bookmarkStart w:id="17" w:name="_Toc12506"/>
      <w:bookmarkStart w:id="18" w:name="_Toc27134"/>
      <w:r>
        <w:rPr>
          <w:rFonts w:hint="eastAsia" w:ascii="仿宋_GB2312" w:hAnsi="仿宋_GB2312" w:eastAsia="仿宋_GB2312" w:cs="仿宋_GB2312"/>
          <w:kern w:val="44"/>
          <w:sz w:val="28"/>
          <w:szCs w:val="28"/>
          <w:lang w:eastAsia="zh-CN"/>
        </w:rPr>
        <w:t>该项目</w:t>
      </w:r>
      <w:r>
        <w:rPr>
          <w:rFonts w:hint="eastAsia" w:ascii="仿宋_GB2312" w:hAnsi="仿宋_GB2312" w:eastAsia="仿宋_GB2312" w:cs="仿宋_GB2312"/>
          <w:kern w:val="44"/>
          <w:sz w:val="28"/>
          <w:szCs w:val="28"/>
        </w:rPr>
        <w:t>的实施，</w:t>
      </w:r>
      <w:r>
        <w:rPr>
          <w:rFonts w:hint="eastAsia" w:ascii="仿宋_GB2312" w:hAnsi="仿宋_GB2312" w:eastAsia="仿宋_GB2312" w:cs="仿宋_GB2312"/>
          <w:kern w:val="44"/>
          <w:sz w:val="28"/>
          <w:szCs w:val="28"/>
          <w:lang w:val="en-US" w:eastAsia="zh-CN"/>
        </w:rPr>
        <w:t>为</w:t>
      </w:r>
      <w:r>
        <w:rPr>
          <w:rFonts w:hint="eastAsia" w:ascii="仿宋_GB2312" w:hAnsi="仿宋_GB2312" w:eastAsia="仿宋_GB2312" w:cs="仿宋_GB2312"/>
          <w:kern w:val="44"/>
          <w:sz w:val="28"/>
          <w:szCs w:val="28"/>
        </w:rPr>
        <w:t>全面做好国家卫生区创建工作，不断提高辖区内居民“创卫”意识，进一步营造浓厚的创卫宣传氛围、改善人居环境，提高创卫工作知晓率，降低密度</w:t>
      </w:r>
      <w:r>
        <w:rPr>
          <w:rFonts w:hint="eastAsia" w:ascii="仿宋_GB2312" w:hAnsi="仿宋_GB2312" w:eastAsia="仿宋_GB2312" w:cs="仿宋_GB2312"/>
          <w:kern w:val="44"/>
          <w:sz w:val="28"/>
          <w:szCs w:val="28"/>
          <w:lang w:val="en-US" w:eastAsia="zh-CN"/>
        </w:rPr>
        <w:t>起到重要作用</w:t>
      </w:r>
      <w:r>
        <w:rPr>
          <w:rFonts w:hint="eastAsia" w:ascii="仿宋_GB2312" w:hAnsi="仿宋_GB2312" w:eastAsia="仿宋_GB2312" w:cs="仿宋_GB2312"/>
          <w:kern w:val="44"/>
          <w:sz w:val="28"/>
          <w:szCs w:val="28"/>
        </w:rPr>
        <w:t>。但项目前期论证不充分，绩效目标设置</w:t>
      </w:r>
      <w:r>
        <w:rPr>
          <w:rFonts w:hint="eastAsia" w:ascii="仿宋_GB2312" w:hAnsi="仿宋_GB2312" w:eastAsia="仿宋_GB2312" w:cs="仿宋_GB2312"/>
          <w:kern w:val="44"/>
          <w:sz w:val="28"/>
          <w:szCs w:val="28"/>
          <w:lang w:val="en-US" w:eastAsia="zh-CN"/>
        </w:rPr>
        <w:t>及</w:t>
      </w:r>
      <w:r>
        <w:rPr>
          <w:rFonts w:hint="eastAsia" w:ascii="仿宋_GB2312" w:hAnsi="仿宋_GB2312" w:eastAsia="仿宋_GB2312" w:cs="仿宋_GB2312"/>
          <w:kern w:val="44"/>
          <w:sz w:val="28"/>
          <w:szCs w:val="28"/>
        </w:rPr>
        <w:t>项目过程管理不规范，项目绩效呈现不够充分。</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highlight w:val="none"/>
        </w:rPr>
      </w:pPr>
      <w:r>
        <w:rPr>
          <w:rFonts w:hint="eastAsia" w:ascii="黑体" w:hAnsi="黑体" w:eastAsia="黑体"/>
          <w:b w:val="0"/>
          <w:sz w:val="28"/>
          <w:szCs w:val="28"/>
          <w:highlight w:val="none"/>
        </w:rPr>
        <w:t>四、绩效评价指标分析</w:t>
      </w:r>
      <w:bookmarkEnd w:id="17"/>
      <w:bookmarkEnd w:id="18"/>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19" w:name="_Toc20222"/>
      <w:bookmarkStart w:id="20" w:name="_Toc32173"/>
      <w:r>
        <w:rPr>
          <w:rFonts w:hint="eastAsia" w:ascii="楷体_GB2312" w:hAnsi="楷体_GB2312" w:eastAsia="楷体_GB2312" w:cs="楷体_GB2312"/>
          <w:b w:val="0"/>
          <w:bCs w:val="0"/>
          <w:sz w:val="28"/>
          <w:szCs w:val="28"/>
        </w:rPr>
        <w:t>（一）项目决策情况</w:t>
      </w:r>
      <w:bookmarkEnd w:id="19"/>
      <w:bookmarkEnd w:id="20"/>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rPr>
      </w:pPr>
      <w:bookmarkStart w:id="21" w:name="_Toc9002"/>
      <w:bookmarkStart w:id="22" w:name="_Toc72244420"/>
      <w:bookmarkStart w:id="23" w:name="_Toc19819"/>
      <w:r>
        <w:rPr>
          <w:rFonts w:hint="eastAsia" w:ascii="仿宋_GB2312" w:hAnsi="仿宋_GB2312" w:eastAsia="仿宋_GB2312" w:cs="仿宋_GB2312"/>
          <w:bCs/>
          <w:kern w:val="44"/>
          <w:sz w:val="28"/>
          <w:szCs w:val="28"/>
        </w:rPr>
        <w:t>1.项目立项情况</w:t>
      </w:r>
      <w:bookmarkEnd w:id="21"/>
      <w:bookmarkEnd w:id="22"/>
      <w:bookmarkEnd w:id="23"/>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仿宋_GB2312" w:eastAsia="仿宋_GB2312" w:cs="仿宋_GB2312"/>
          <w:bCs/>
          <w:kern w:val="44"/>
          <w:sz w:val="28"/>
          <w:szCs w:val="28"/>
        </w:rPr>
      </w:pPr>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依据《中共北京市大兴区瀛海镇委员会瀛海镇创建国家卫生区综合工作方案》（兴瀛发〔2022〕12号）</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rPr>
        <w:t>《病媒生物综合管理技术规范城镇》（GB/T27775—2011）</w:t>
      </w:r>
      <w:r>
        <w:rPr>
          <w:rFonts w:hint="eastAsia" w:ascii="仿宋_GB2312" w:hAnsi="Arial" w:eastAsia="仿宋_GB2312" w:cs="Arial"/>
          <w:bCs/>
          <w:sz w:val="28"/>
          <w:szCs w:val="28"/>
          <w:lang w:eastAsia="zh-CN"/>
        </w:rPr>
        <w:t>、《病媒生物密度控制水平——（蚊蝇鼠蟑）》</w:t>
      </w:r>
      <w:r>
        <w:rPr>
          <w:rFonts w:hint="eastAsia" w:ascii="仿宋_GB2312" w:hAnsi="Arial" w:eastAsia="仿宋_GB2312" w:cs="Arial"/>
          <w:bCs/>
          <w:sz w:val="28"/>
          <w:szCs w:val="28"/>
        </w:rPr>
        <w:t>等文件要求设立，为持续有效降低“四害”密度，达到“国家卫生镇”创建病媒生物防制（蚊蝇鼠蟑）C级标准，瀛海镇</w:t>
      </w:r>
      <w:r>
        <w:rPr>
          <w:rFonts w:hint="eastAsia" w:ascii="仿宋_GB2312" w:hAnsi="Arial" w:eastAsia="仿宋_GB2312" w:cs="Arial"/>
          <w:bCs/>
          <w:sz w:val="28"/>
          <w:szCs w:val="28"/>
          <w:lang w:val="en-US" w:eastAsia="zh-CN"/>
        </w:rPr>
        <w:t>需</w:t>
      </w:r>
      <w:r>
        <w:rPr>
          <w:rFonts w:hint="eastAsia" w:ascii="仿宋_GB2312" w:hAnsi="Arial" w:eastAsia="仿宋_GB2312" w:cs="Arial"/>
          <w:bCs/>
          <w:sz w:val="28"/>
          <w:szCs w:val="28"/>
        </w:rPr>
        <w:t>聘用专业病媒防制机构对全镇公共区域外环境进行规范防制。</w:t>
      </w:r>
      <w:r>
        <w:rPr>
          <w:rFonts w:hint="eastAsia" w:ascii="仿宋_GB2312" w:eastAsia="仿宋_GB2312"/>
          <w:bCs/>
          <w:kern w:val="44"/>
          <w:sz w:val="28"/>
          <w:szCs w:val="28"/>
          <w:lang w:eastAsia="zh-CN"/>
        </w:rPr>
        <w:t>瀛海镇</w:t>
      </w:r>
      <w:r>
        <w:rPr>
          <w:rFonts w:hint="eastAsia" w:ascii="仿宋_GB2312" w:eastAsia="仿宋_GB2312"/>
          <w:bCs/>
          <w:kern w:val="44"/>
          <w:sz w:val="28"/>
          <w:szCs w:val="28"/>
        </w:rPr>
        <w:t>依据相关文件设立</w:t>
      </w:r>
      <w:r>
        <w:rPr>
          <w:rFonts w:hint="eastAsia" w:ascii="仿宋_GB2312" w:eastAsia="仿宋_GB2312"/>
          <w:bCs/>
          <w:kern w:val="44"/>
          <w:sz w:val="28"/>
          <w:szCs w:val="28"/>
          <w:lang w:eastAsia="zh-CN"/>
        </w:rPr>
        <w:t>该项目</w:t>
      </w:r>
      <w:r>
        <w:rPr>
          <w:rFonts w:hint="eastAsia" w:ascii="仿宋_GB2312" w:hAnsi="仿宋_GB2312" w:eastAsia="仿宋_GB2312" w:cs="仿宋_GB2312"/>
          <w:bCs/>
          <w:kern w:val="44"/>
          <w:sz w:val="28"/>
          <w:szCs w:val="28"/>
        </w:rPr>
        <w:t>，项目立项依据较为充分。</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ascii="仿宋_GB2312" w:eastAsia="仿宋_GB2312"/>
          <w:bCs/>
          <w:kern w:val="44"/>
          <w:sz w:val="28"/>
          <w:szCs w:val="28"/>
          <w:highlight w:val="yellow"/>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由</w:t>
      </w:r>
      <w:r>
        <w:rPr>
          <w:rFonts w:hint="eastAsia" w:ascii="仿宋_GB2312" w:eastAsia="仿宋_GB2312"/>
          <w:bCs/>
          <w:kern w:val="44"/>
          <w:sz w:val="28"/>
          <w:szCs w:val="28"/>
          <w:highlight w:val="none"/>
          <w:lang w:eastAsia="zh-CN"/>
        </w:rPr>
        <w:t>瀛海镇</w:t>
      </w:r>
      <w:r>
        <w:rPr>
          <w:rFonts w:hint="eastAsia" w:ascii="仿宋_GB2312" w:eastAsia="仿宋_GB2312"/>
          <w:bCs/>
          <w:kern w:val="44"/>
          <w:sz w:val="28"/>
          <w:szCs w:val="28"/>
          <w:highlight w:val="none"/>
          <w:lang w:val="en-US" w:eastAsia="zh-CN"/>
        </w:rPr>
        <w:t>教科文体办</w:t>
      </w:r>
      <w:r>
        <w:rPr>
          <w:rFonts w:hint="eastAsia" w:ascii="仿宋_GB2312" w:eastAsia="仿宋_GB2312"/>
          <w:bCs/>
          <w:kern w:val="44"/>
          <w:sz w:val="28"/>
          <w:szCs w:val="28"/>
          <w:highlight w:val="none"/>
        </w:rPr>
        <w:t>负责，</w:t>
      </w:r>
      <w:r>
        <w:rPr>
          <w:rFonts w:hint="eastAsia" w:ascii="仿宋_GB2312" w:eastAsia="仿宋_GB2312"/>
          <w:bCs/>
          <w:kern w:val="44"/>
          <w:sz w:val="28"/>
          <w:szCs w:val="28"/>
          <w:highlight w:val="none"/>
          <w:lang w:eastAsia="zh-CN"/>
        </w:rPr>
        <w:t>瀛海镇</w:t>
      </w:r>
      <w:r>
        <w:rPr>
          <w:rFonts w:hint="eastAsia" w:ascii="仿宋_GB2312" w:eastAsia="仿宋_GB2312"/>
          <w:bCs/>
          <w:kern w:val="44"/>
          <w:sz w:val="28"/>
          <w:szCs w:val="28"/>
          <w:highlight w:val="none"/>
          <w:lang w:val="en-US" w:eastAsia="zh-CN"/>
        </w:rPr>
        <w:t>教科文体办</w:t>
      </w:r>
      <w:r>
        <w:rPr>
          <w:rFonts w:hint="eastAsia" w:ascii="仿宋_GB2312" w:eastAsia="仿宋_GB2312"/>
          <w:bCs/>
          <w:kern w:val="44"/>
          <w:sz w:val="28"/>
          <w:szCs w:val="28"/>
          <w:highlight w:val="none"/>
        </w:rPr>
        <w:t>职责是</w:t>
      </w:r>
      <w:r>
        <w:rPr>
          <w:rFonts w:hint="eastAsia" w:ascii="仿宋_GB2312" w:hAnsi="仿宋_GB2312" w:eastAsia="仿宋_GB2312" w:cs="仿宋_GB2312"/>
          <w:bCs/>
          <w:kern w:val="44"/>
          <w:sz w:val="28"/>
          <w:szCs w:val="28"/>
          <w:highlight w:val="none"/>
        </w:rPr>
        <w:t>负责</w:t>
      </w:r>
      <w:r>
        <w:rPr>
          <w:rFonts w:hint="eastAsia" w:ascii="仿宋_GB2312" w:hAnsi="Arial" w:eastAsia="仿宋_GB2312" w:cs="Arial"/>
          <w:bCs/>
          <w:sz w:val="28"/>
          <w:szCs w:val="28"/>
          <w:lang w:eastAsia="zh-CN"/>
        </w:rPr>
        <w:t>领导本辖区传染病</w:t>
      </w:r>
      <w:r>
        <w:rPr>
          <w:rFonts w:hint="eastAsia" w:ascii="仿宋_GB2312" w:hAnsi="Arial" w:eastAsia="仿宋_GB2312" w:cs="Arial"/>
          <w:bCs/>
          <w:sz w:val="28"/>
          <w:szCs w:val="28"/>
          <w:lang w:val="en-US" w:eastAsia="zh-CN"/>
        </w:rPr>
        <w:t>防制</w:t>
      </w:r>
      <w:r>
        <w:rPr>
          <w:rFonts w:hint="eastAsia" w:ascii="仿宋_GB2312" w:hAnsi="Arial" w:eastAsia="仿宋_GB2312" w:cs="Arial"/>
          <w:bCs/>
          <w:sz w:val="28"/>
          <w:szCs w:val="28"/>
          <w:lang w:eastAsia="zh-CN"/>
        </w:rPr>
        <w:t>工作，组织开展群众性卫生活动，进行预防传染病的健康教育，</w:t>
      </w:r>
      <w:r>
        <w:rPr>
          <w:rFonts w:hint="eastAsia" w:ascii="仿宋_GB2312" w:hAnsi="仿宋_GB2312" w:eastAsia="仿宋_GB2312" w:cs="仿宋_GB2312"/>
          <w:bCs/>
          <w:kern w:val="44"/>
          <w:sz w:val="28"/>
          <w:szCs w:val="28"/>
          <w:highlight w:val="none"/>
        </w:rPr>
        <w:t>项目实施内容具有职能相关性。</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24" w:name="_Toc72244421"/>
      <w:bookmarkStart w:id="25" w:name="_Toc17234"/>
      <w:bookmarkStart w:id="26" w:name="_Toc17725"/>
      <w:r>
        <w:rPr>
          <w:rFonts w:hint="eastAsia" w:ascii="仿宋_GB2312" w:hAnsi="仿宋_GB2312" w:eastAsia="仿宋_GB2312" w:cs="仿宋_GB2312"/>
          <w:bCs/>
          <w:kern w:val="44"/>
          <w:sz w:val="28"/>
          <w:szCs w:val="28"/>
          <w:highlight w:val="none"/>
        </w:rPr>
        <w:t>2.绩效目标情况</w:t>
      </w:r>
      <w:bookmarkEnd w:id="24"/>
      <w:bookmarkEnd w:id="25"/>
      <w:bookmarkEnd w:id="26"/>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宋体" w:hAnsi="宋体" w:eastAsia="仿宋_GB2312" w:cs="宋体"/>
          <w:sz w:val="28"/>
          <w:szCs w:val="28"/>
          <w:highlight w:val="yellow"/>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设置了总体绩效目标和绩效指标，</w:t>
      </w:r>
      <w:r>
        <w:rPr>
          <w:rFonts w:hint="eastAsia" w:ascii="仿宋_GB2312" w:hAnsi="仿宋_GB2312" w:eastAsia="仿宋_GB2312" w:cs="仿宋_GB2312"/>
          <w:bCs/>
          <w:kern w:val="44"/>
          <w:sz w:val="28"/>
          <w:szCs w:val="28"/>
          <w:highlight w:val="none"/>
          <w:lang w:val="en-US" w:eastAsia="zh-CN"/>
        </w:rPr>
        <w:t>总体</w:t>
      </w:r>
      <w:r>
        <w:rPr>
          <w:rFonts w:hint="eastAsia" w:ascii="仿宋_GB2312" w:hAnsi="仿宋_GB2312" w:eastAsia="仿宋_GB2312" w:cs="仿宋_GB2312"/>
          <w:bCs/>
          <w:kern w:val="44"/>
          <w:sz w:val="28"/>
          <w:szCs w:val="28"/>
          <w:highlight w:val="none"/>
        </w:rPr>
        <w:t>绩效目标明确了项目实施内容，但未明确项目实施效益。部分绩效指标设置的细化、量化程度不足</w:t>
      </w:r>
      <w:r>
        <w:rPr>
          <w:rFonts w:hint="eastAsia" w:ascii="仿宋_GB2312" w:hAnsi="Arial" w:eastAsia="仿宋_GB2312" w:cs="Arial"/>
          <w:bCs/>
          <w:sz w:val="28"/>
          <w:szCs w:val="28"/>
          <w:lang w:eastAsia="zh-CN"/>
        </w:rPr>
        <w:t>。</w:t>
      </w:r>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27" w:name="_Toc6307"/>
      <w:bookmarkStart w:id="28" w:name="_Toc72244422"/>
      <w:bookmarkStart w:id="29" w:name="_Toc19347"/>
      <w:r>
        <w:rPr>
          <w:rFonts w:hint="eastAsia" w:ascii="仿宋_GB2312" w:hAnsi="仿宋_GB2312" w:eastAsia="仿宋_GB2312" w:cs="仿宋_GB2312"/>
          <w:bCs/>
          <w:kern w:val="44"/>
          <w:sz w:val="28"/>
          <w:szCs w:val="28"/>
          <w:highlight w:val="none"/>
        </w:rPr>
        <w:t>3.资金投入情况</w:t>
      </w:r>
      <w:bookmarkEnd w:id="27"/>
      <w:bookmarkEnd w:id="28"/>
      <w:bookmarkEnd w:id="29"/>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ascii="仿宋_GB2312" w:hAnsi="Arial" w:eastAsia="仿宋_GB2312" w:cs="Arial"/>
          <w:bCs/>
          <w:sz w:val="28"/>
          <w:szCs w:val="28"/>
        </w:rPr>
      </w:pP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202</w:t>
      </w:r>
      <w:r>
        <w:rPr>
          <w:rFonts w:hint="eastAsia" w:ascii="仿宋_GB2312" w:hAnsi="仿宋_GB2312" w:eastAsia="仿宋_GB2312" w:cs="仿宋_GB2312"/>
          <w:bCs/>
          <w:kern w:val="44"/>
          <w:sz w:val="28"/>
          <w:szCs w:val="28"/>
          <w:highlight w:val="none"/>
          <w:lang w:val="en-US" w:eastAsia="zh-CN"/>
        </w:rPr>
        <w:t>4</w:t>
      </w:r>
      <w:r>
        <w:rPr>
          <w:rFonts w:hint="eastAsia" w:ascii="仿宋_GB2312" w:hAnsi="仿宋_GB2312" w:eastAsia="仿宋_GB2312" w:cs="仿宋_GB2312"/>
          <w:bCs/>
          <w:kern w:val="44"/>
          <w:sz w:val="28"/>
          <w:szCs w:val="28"/>
          <w:highlight w:val="none"/>
        </w:rPr>
        <w:t>年</w:t>
      </w:r>
      <w:r>
        <w:rPr>
          <w:rFonts w:hint="eastAsia" w:ascii="仿宋_GB2312" w:hAnsi="仿宋_GB2312" w:eastAsia="仿宋_GB2312" w:cs="仿宋_GB2312"/>
          <w:bCs/>
          <w:kern w:val="44"/>
          <w:sz w:val="28"/>
          <w:szCs w:val="28"/>
          <w:highlight w:val="none"/>
          <w:lang w:eastAsia="zh-CN"/>
        </w:rPr>
        <w:t>该项目</w:t>
      </w:r>
      <w:r>
        <w:rPr>
          <w:rFonts w:hint="eastAsia" w:ascii="仿宋_GB2312" w:hAnsi="仿宋_GB2312" w:eastAsia="仿宋_GB2312" w:cs="仿宋_GB2312"/>
          <w:bCs/>
          <w:kern w:val="44"/>
          <w:sz w:val="28"/>
          <w:szCs w:val="28"/>
          <w:highlight w:val="none"/>
        </w:rPr>
        <w:t>预算</w:t>
      </w:r>
      <w:r>
        <w:rPr>
          <w:rFonts w:hint="eastAsia" w:ascii="仿宋_GB2312" w:hAnsi="Arial" w:eastAsia="仿宋_GB2312" w:cs="Arial"/>
          <w:bCs/>
          <w:sz w:val="28"/>
          <w:szCs w:val="28"/>
          <w:lang w:val="en-US" w:eastAsia="zh-CN"/>
        </w:rPr>
        <w:t>4,334,434.46</w:t>
      </w:r>
      <w:r>
        <w:rPr>
          <w:rFonts w:hint="eastAsia" w:ascii="仿宋_GB2312" w:hAnsi="宋体" w:eastAsia="仿宋_GB2312" w:cs="宋体"/>
          <w:kern w:val="0"/>
          <w:sz w:val="28"/>
          <w:szCs w:val="28"/>
        </w:rPr>
        <w:t>元</w:t>
      </w:r>
      <w:r>
        <w:rPr>
          <w:rFonts w:hint="eastAsia" w:ascii="仿宋_GB2312" w:hAnsi="仿宋_GB2312" w:eastAsia="仿宋_GB2312" w:cs="仿宋_GB2312"/>
          <w:bCs/>
          <w:kern w:val="44"/>
          <w:sz w:val="28"/>
          <w:szCs w:val="28"/>
          <w:highlight w:val="none"/>
        </w:rPr>
        <w:t>，</w:t>
      </w:r>
      <w:r>
        <w:rPr>
          <w:rFonts w:hint="eastAsia" w:ascii="仿宋_GB2312" w:hAnsi="Arial" w:eastAsia="仿宋_GB2312" w:cs="Arial"/>
          <w:bCs/>
          <w:sz w:val="28"/>
          <w:szCs w:val="28"/>
        </w:rPr>
        <w:t>截至202</w:t>
      </w:r>
      <w:r>
        <w:rPr>
          <w:rFonts w:hint="eastAsia" w:ascii="仿宋_GB2312" w:hAnsi="Arial" w:eastAsia="仿宋_GB2312" w:cs="Arial"/>
          <w:bCs/>
          <w:sz w:val="28"/>
          <w:szCs w:val="28"/>
          <w:lang w:val="en-US" w:eastAsia="zh-CN"/>
        </w:rPr>
        <w:t>4</w:t>
      </w:r>
      <w:r>
        <w:rPr>
          <w:rFonts w:hint="eastAsia" w:ascii="仿宋_GB2312" w:hAnsi="Arial" w:eastAsia="仿宋_GB2312" w:cs="Arial"/>
          <w:bCs/>
          <w:sz w:val="28"/>
          <w:szCs w:val="28"/>
        </w:rPr>
        <w:t>年12月31日，实际支出金额为</w:t>
      </w:r>
      <w:r>
        <w:rPr>
          <w:rFonts w:hint="eastAsia" w:ascii="仿宋_GB2312" w:hAnsi="Arial" w:eastAsia="仿宋_GB2312" w:cs="Arial"/>
          <w:bCs/>
          <w:sz w:val="28"/>
          <w:szCs w:val="28"/>
          <w:lang w:val="en-US" w:eastAsia="zh-CN"/>
        </w:rPr>
        <w:t>4,334,434.46</w:t>
      </w:r>
      <w:r>
        <w:rPr>
          <w:rFonts w:hint="eastAsia" w:ascii="仿宋_GB2312" w:hAnsi="Arial" w:eastAsia="仿宋_GB2312" w:cs="Arial"/>
          <w:bCs/>
          <w:sz w:val="28"/>
          <w:szCs w:val="28"/>
        </w:rPr>
        <w:t>元，预算执行率为100.00%。支出内容</w:t>
      </w:r>
      <w:r>
        <w:rPr>
          <w:rFonts w:hint="eastAsia" w:ascii="仿宋_GB2312" w:hAnsi="Arial" w:eastAsia="仿宋_GB2312" w:cs="Arial"/>
          <w:bCs/>
          <w:sz w:val="28"/>
          <w:szCs w:val="28"/>
          <w:lang w:val="en-US" w:eastAsia="zh-CN"/>
        </w:rPr>
        <w:t>主要为病媒生物防制专项工作费用</w:t>
      </w:r>
      <w:r>
        <w:rPr>
          <w:rFonts w:hint="eastAsia" w:ascii="仿宋_GB2312" w:hAnsi="Arial" w:eastAsia="仿宋_GB2312" w:cs="Arial"/>
          <w:bCs/>
          <w:sz w:val="28"/>
          <w:szCs w:val="28"/>
        </w:rPr>
        <w:t>。</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highlight w:val="none"/>
        </w:rPr>
      </w:pPr>
      <w:bookmarkStart w:id="30" w:name="_Toc12588"/>
      <w:bookmarkStart w:id="31" w:name="_Toc18013"/>
      <w:r>
        <w:rPr>
          <w:rFonts w:hint="eastAsia" w:ascii="楷体_GB2312" w:hAnsi="楷体_GB2312" w:eastAsia="楷体_GB2312" w:cs="楷体_GB2312"/>
          <w:b w:val="0"/>
          <w:bCs w:val="0"/>
          <w:sz w:val="28"/>
          <w:szCs w:val="28"/>
          <w:highlight w:val="none"/>
        </w:rPr>
        <w:t>（二）项目过程情况</w:t>
      </w:r>
      <w:bookmarkEnd w:id="30"/>
      <w:bookmarkEnd w:id="31"/>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bookmarkStart w:id="32" w:name="_Toc26379"/>
      <w:bookmarkStart w:id="33" w:name="_Toc28141"/>
      <w:bookmarkStart w:id="34" w:name="_Toc72244424"/>
      <w:r>
        <w:rPr>
          <w:rFonts w:hint="eastAsia" w:ascii="仿宋_GB2312" w:hAnsi="仿宋_GB2312" w:eastAsia="仿宋_GB2312" w:cs="仿宋_GB2312"/>
          <w:bCs/>
          <w:kern w:val="44"/>
          <w:sz w:val="28"/>
          <w:szCs w:val="28"/>
          <w:highlight w:val="none"/>
        </w:rPr>
        <w:t>1.资金管理情况</w:t>
      </w:r>
      <w:bookmarkEnd w:id="32"/>
      <w:bookmarkEnd w:id="33"/>
      <w:bookmarkEnd w:id="34"/>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default" w:ascii="仿宋_GB2312" w:hAnsi="Arial" w:eastAsia="仿宋_GB2312" w:cs="Arial"/>
          <w:bCs/>
          <w:sz w:val="28"/>
          <w:szCs w:val="28"/>
          <w:lang w:val="en-US" w:eastAsia="zh-CN"/>
        </w:rPr>
      </w:pPr>
      <w:bookmarkStart w:id="35" w:name="_Toc24399"/>
      <w:bookmarkStart w:id="36" w:name="_Toc72244425"/>
      <w:bookmarkStart w:id="37" w:name="_Toc25228"/>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资金支出按规定履行了单位内部审批程序，</w:t>
      </w:r>
      <w:r>
        <w:rPr>
          <w:rFonts w:hint="eastAsia" w:ascii="仿宋_GB2312" w:hAnsi="Arial" w:eastAsia="仿宋_GB2312" w:cs="Arial"/>
          <w:bCs/>
          <w:sz w:val="28"/>
          <w:szCs w:val="28"/>
          <w:lang w:val="en-US" w:eastAsia="zh-CN"/>
        </w:rPr>
        <w:t>按照合同约定分两期付款并在付款前获取有效发票，</w:t>
      </w:r>
      <w:r>
        <w:rPr>
          <w:rFonts w:hint="eastAsia" w:ascii="仿宋_GB2312" w:hAnsi="Arial" w:eastAsia="仿宋_GB2312" w:cs="Arial"/>
          <w:bCs/>
          <w:sz w:val="28"/>
          <w:szCs w:val="28"/>
        </w:rPr>
        <w:t>填写</w:t>
      </w:r>
      <w:r>
        <w:rPr>
          <w:rFonts w:hint="eastAsia" w:ascii="仿宋_GB2312" w:hAnsi="Arial" w:eastAsia="仿宋_GB2312" w:cs="Arial"/>
          <w:bCs/>
          <w:sz w:val="28"/>
          <w:szCs w:val="28"/>
          <w:lang w:eastAsia="zh-CN"/>
        </w:rPr>
        <w:t>了</w:t>
      </w:r>
      <w:r>
        <w:rPr>
          <w:rFonts w:hint="eastAsia" w:ascii="仿宋_GB2312" w:hAnsi="Arial" w:eastAsia="仿宋_GB2312" w:cs="Arial"/>
          <w:bCs/>
          <w:sz w:val="28"/>
          <w:szCs w:val="28"/>
        </w:rPr>
        <w:t>机关支出计划审批单，财务凭证后附资金支付申请及领导签批、合同、发票等资料。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outlineLvl w:val="2"/>
        <w:rPr>
          <w:rFonts w:hint="eastAsia" w:ascii="仿宋_GB2312" w:hAnsi="仿宋_GB2312" w:eastAsia="仿宋_GB2312" w:cs="仿宋_GB2312"/>
          <w:bCs/>
          <w:kern w:val="44"/>
          <w:sz w:val="28"/>
          <w:szCs w:val="28"/>
          <w:highlight w:val="none"/>
        </w:rPr>
      </w:pPr>
      <w:r>
        <w:rPr>
          <w:rFonts w:hint="eastAsia" w:ascii="仿宋_GB2312" w:hAnsi="仿宋_GB2312" w:eastAsia="仿宋_GB2312" w:cs="仿宋_GB2312"/>
          <w:bCs/>
          <w:kern w:val="44"/>
          <w:sz w:val="28"/>
          <w:szCs w:val="28"/>
          <w:highlight w:val="none"/>
        </w:rPr>
        <w:t>2.组织实施情况</w:t>
      </w:r>
      <w:bookmarkEnd w:id="35"/>
      <w:bookmarkEnd w:id="36"/>
      <w:bookmarkEnd w:id="37"/>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default" w:ascii="仿宋_GB2312" w:hAnsi="Arial" w:eastAsia="仿宋_GB2312" w:cs="Arial"/>
          <w:bCs/>
          <w:sz w:val="28"/>
          <w:szCs w:val="28"/>
          <w:lang w:val="en-US" w:eastAsia="zh-CN"/>
        </w:rPr>
      </w:pPr>
      <w:r>
        <w:rPr>
          <w:rFonts w:hint="eastAsia" w:ascii="仿宋_GB2312" w:hAnsi="Arial" w:eastAsia="仿宋_GB2312" w:cs="Arial"/>
          <w:bCs/>
          <w:sz w:val="28"/>
          <w:szCs w:val="28"/>
        </w:rPr>
        <w:t>瀛海镇委托北京融慧信成建筑工程咨询服务有限公司负责“北京市大兴区瀛海镇病媒生物防制项目”公开招标事宜，经</w:t>
      </w:r>
      <w:r>
        <w:rPr>
          <w:rFonts w:hint="eastAsia" w:ascii="仿宋_GB2312" w:hAnsi="Arial" w:eastAsia="仿宋_GB2312" w:cs="Arial"/>
          <w:bCs/>
          <w:sz w:val="28"/>
          <w:szCs w:val="28"/>
          <w:lang w:val="en-US" w:eastAsia="zh-CN"/>
        </w:rPr>
        <w:t>采购</w:t>
      </w:r>
      <w:r>
        <w:rPr>
          <w:rFonts w:hint="eastAsia" w:ascii="仿宋_GB2312" w:hAnsi="Arial" w:eastAsia="仿宋_GB2312" w:cs="Arial"/>
          <w:bCs/>
          <w:sz w:val="28"/>
          <w:szCs w:val="28"/>
        </w:rPr>
        <w:t>程序选定利华中康(北京)制药有限公司确定为项目中标人</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并约定服务期限为2023年8月7日-2025年8月6日。</w:t>
      </w:r>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eastAsia="仿宋_GB2312"/>
          <w:bCs/>
          <w:kern w:val="44"/>
          <w:sz w:val="28"/>
          <w:szCs w:val="28"/>
          <w:highlight w:val="none"/>
        </w:rPr>
      </w:pPr>
      <w:r>
        <w:rPr>
          <w:rFonts w:hint="eastAsia" w:ascii="仿宋_GB2312" w:hAnsi="Arial" w:eastAsia="仿宋_GB2312" w:cs="Arial"/>
          <w:bCs/>
          <w:sz w:val="28"/>
          <w:szCs w:val="28"/>
          <w:lang w:val="en-US" w:eastAsia="zh-CN"/>
        </w:rPr>
        <w:t>在防制合同期限内对蚊、蝇、鼠、蟑密度达到国家规定的病媒生物密度控制水平C级标准，虫害滋扰降至最低，严格填写施工作业记录，春季3-5月、夏季6-8月、秋季9-11月、冬季12-2月每个防制季编写阶段性技术服务报告，3-4月每月一轮鼠蟑消杀，5-10月每月一轮蚊蝇鼠蟑消杀，11-2月每月一轮鼠消杀，服务期共计消杀12轮次，同时做好防制前、后的密度监测。建立质控体系和记录，如密度监测体系、质量管理及检查体系、登记记录体系，并形成详实、可追溯的资料。抽查范围及数量包括:自我抽查现场质量情况，每一轮次，每个重点区域全覆盖。针对孳生地清理、消杀程序规范性（含药物使用及重点区域处理）、蝇袋设置、防治效果自检（蚊蝇蟑螂指标）及发现问题及时上报协调处理。</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bookmarkStart w:id="38" w:name="_Toc10564"/>
      <w:bookmarkStart w:id="39" w:name="_Toc25946"/>
      <w:r>
        <w:rPr>
          <w:rFonts w:hint="eastAsia" w:ascii="楷体_GB2312" w:hAnsi="楷体_GB2312" w:eastAsia="楷体_GB2312" w:cs="楷体_GB2312"/>
          <w:b w:val="0"/>
          <w:bCs w:val="0"/>
          <w:sz w:val="28"/>
          <w:szCs w:val="28"/>
        </w:rPr>
        <w:t>（三）项目产出情况</w:t>
      </w:r>
      <w:bookmarkEnd w:id="38"/>
      <w:bookmarkEnd w:id="39"/>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仿宋_GB2312" w:hAnsi="Arial" w:eastAsia="仿宋_GB2312" w:cs="Arial"/>
          <w:b w:val="0"/>
          <w:bCs/>
          <w:kern w:val="2"/>
          <w:sz w:val="28"/>
          <w:szCs w:val="28"/>
          <w:lang w:val="en-US" w:eastAsia="zh-CN" w:bidi="ar-SA"/>
        </w:rPr>
      </w:pPr>
      <w:bookmarkStart w:id="40" w:name="_Toc4913"/>
      <w:bookmarkStart w:id="41" w:name="_Toc11907"/>
      <w:r>
        <w:rPr>
          <w:rFonts w:hint="eastAsia" w:ascii="仿宋_GB2312" w:hAnsi="Arial" w:eastAsia="仿宋_GB2312" w:cs="Arial"/>
          <w:b w:val="0"/>
          <w:bCs/>
          <w:kern w:val="2"/>
          <w:sz w:val="28"/>
          <w:szCs w:val="28"/>
          <w:lang w:val="en-US" w:eastAsia="zh-CN" w:bidi="ar-SA"/>
        </w:rPr>
        <w:t>2024年度，开展病媒生物防制专项工作12次，制作各类宣传材料和宣传品20万份；病媒生物防制专项工作四害密度达到C级以上；病媒生物防制专项工作在12月完成、制作各类宣传材料和宣传品在12月完成。</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（四）项目效益情况</w:t>
      </w:r>
      <w:bookmarkEnd w:id="40"/>
      <w:bookmarkEnd w:id="41"/>
    </w:p>
    <w:bookmarkEnd w:id="16"/>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Arial" w:eastAsia="仿宋_GB2312" w:cs="Arial"/>
          <w:bCs/>
          <w:sz w:val="28"/>
          <w:szCs w:val="28"/>
        </w:rPr>
      </w:pPr>
      <w:bookmarkStart w:id="42" w:name="_Toc25691"/>
      <w:bookmarkStart w:id="43" w:name="_Toc14822"/>
      <w:r>
        <w:rPr>
          <w:rFonts w:hint="eastAsia" w:ascii="仿宋_GB2312" w:hAnsi="Arial" w:eastAsia="仿宋_GB2312" w:cs="Arial"/>
          <w:bCs/>
          <w:sz w:val="28"/>
          <w:szCs w:val="28"/>
        </w:rPr>
        <w:t>通过</w:t>
      </w:r>
      <w:r>
        <w:rPr>
          <w:rFonts w:hint="eastAsia" w:ascii="仿宋_GB2312" w:hAnsi="Arial" w:eastAsia="仿宋_GB2312" w:cs="Arial"/>
          <w:bCs/>
          <w:sz w:val="28"/>
          <w:szCs w:val="28"/>
          <w:lang w:eastAsia="zh-CN"/>
        </w:rPr>
        <w:t>该项目</w:t>
      </w:r>
      <w:r>
        <w:rPr>
          <w:rFonts w:hint="eastAsia" w:ascii="仿宋_GB2312" w:hAnsi="Arial" w:eastAsia="仿宋_GB2312" w:cs="Arial"/>
          <w:bCs/>
          <w:sz w:val="28"/>
          <w:szCs w:val="28"/>
        </w:rPr>
        <w:t>的实施，</w:t>
      </w:r>
      <w:r>
        <w:rPr>
          <w:rFonts w:hint="eastAsia" w:ascii="仿宋_GB2312" w:hAnsi="Arial" w:eastAsia="仿宋_GB2312" w:cs="Arial"/>
          <w:bCs/>
          <w:sz w:val="28"/>
          <w:szCs w:val="28"/>
          <w:lang w:val="en-US" w:eastAsia="zh-CN"/>
        </w:rPr>
        <w:t>有效支撑了</w:t>
      </w:r>
      <w:r>
        <w:rPr>
          <w:rFonts w:hint="eastAsia" w:ascii="仿宋_GB2312" w:hAnsi="Arial" w:eastAsia="仿宋_GB2312" w:cs="Arial"/>
          <w:bCs/>
          <w:sz w:val="28"/>
          <w:szCs w:val="28"/>
        </w:rPr>
        <w:t>国家卫生区创建工作，不断提高辖区内居民“创卫”意识，进一步营造浓厚的创卫宣传氛围、改善人居环境，提高创卫工作知晓率，降低密度的效果。</w:t>
      </w:r>
      <w:r>
        <w:rPr>
          <w:rFonts w:hint="eastAsia" w:ascii="仿宋_GB2312" w:hAnsi="Arial" w:eastAsia="仿宋_GB2312" w:cs="Arial"/>
          <w:bCs/>
          <w:sz w:val="28"/>
          <w:szCs w:val="28"/>
          <w:lang w:eastAsia="zh-CN"/>
        </w:rPr>
        <w:t>瀛海镇</w:t>
      </w:r>
      <w:r>
        <w:rPr>
          <w:rFonts w:hint="eastAsia" w:ascii="仿宋_GB2312" w:hAnsi="Arial" w:eastAsia="仿宋_GB2312" w:cs="Arial"/>
          <w:bCs/>
          <w:sz w:val="28"/>
          <w:szCs w:val="28"/>
        </w:rPr>
        <w:t>对</w:t>
      </w:r>
      <w:r>
        <w:rPr>
          <w:rFonts w:hint="eastAsia" w:ascii="仿宋_GB2312" w:hAnsi="Arial" w:eastAsia="仿宋_GB2312" w:cs="Arial"/>
          <w:bCs/>
          <w:sz w:val="28"/>
          <w:szCs w:val="28"/>
          <w:lang w:val="en-US" w:eastAsia="zh-CN"/>
        </w:rPr>
        <w:t>该项目</w:t>
      </w:r>
      <w:r>
        <w:rPr>
          <w:rFonts w:hint="eastAsia" w:ascii="仿宋_GB2312" w:hAnsi="Arial" w:eastAsia="仿宋_GB2312" w:cs="Arial"/>
          <w:bCs/>
          <w:sz w:val="28"/>
          <w:szCs w:val="28"/>
        </w:rPr>
        <w:t>进行了满意度调查，群众满意度</w:t>
      </w:r>
      <w:r>
        <w:rPr>
          <w:rFonts w:hint="eastAsia" w:ascii="仿宋_GB2312" w:hAnsi="Arial" w:eastAsia="仿宋_GB2312" w:cs="Arial"/>
          <w:bCs/>
          <w:sz w:val="28"/>
          <w:szCs w:val="28"/>
          <w:lang w:val="en-US" w:eastAsia="zh-CN"/>
        </w:rPr>
        <w:t>为100</w:t>
      </w:r>
      <w:r>
        <w:rPr>
          <w:rFonts w:hint="eastAsia" w:ascii="仿宋_GB2312" w:hAnsi="Arial" w:eastAsia="仿宋_GB2312" w:cs="Arial"/>
          <w:bCs/>
          <w:sz w:val="28"/>
          <w:szCs w:val="28"/>
        </w:rPr>
        <w:t>%。</w:t>
      </w:r>
      <w:bookmarkEnd w:id="42"/>
      <w:bookmarkEnd w:id="43"/>
      <w:bookmarkStart w:id="44" w:name="_Toc10369"/>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黑体" w:hAnsi="黑体" w:eastAsia="黑体"/>
          <w:b w:val="0"/>
          <w:bCs w:val="0"/>
          <w:sz w:val="28"/>
          <w:szCs w:val="28"/>
        </w:rPr>
      </w:pPr>
      <w:r>
        <w:rPr>
          <w:rFonts w:hint="eastAsia" w:ascii="黑体" w:hAnsi="黑体" w:eastAsia="黑体"/>
          <w:b w:val="0"/>
          <w:bCs w:val="0"/>
          <w:sz w:val="28"/>
          <w:szCs w:val="28"/>
        </w:rPr>
        <w:t>五、主要经验及做法、存在的问题及原因分析</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（一）主要经验及做法</w:t>
      </w:r>
      <w:bookmarkEnd w:id="44"/>
    </w:p>
    <w:p>
      <w:pPr>
        <w:pageBreakBefore w:val="0"/>
        <w:widowControl w:val="0"/>
        <w:kinsoku/>
        <w:wordWrap/>
        <w:overflowPunct/>
        <w:topLinePunct w:val="0"/>
        <w:autoSpaceDE/>
        <w:autoSpaceDN/>
        <w:bidi w:val="0"/>
        <w:adjustRightInd w:val="0"/>
        <w:snapToGrid w:val="0"/>
        <w:spacing w:beforeAutospacing="0" w:afterAutospacing="0" w:line="560" w:lineRule="exact"/>
        <w:ind w:firstLine="560" w:firstLineChars="200"/>
        <w:textAlignment w:val="auto"/>
        <w:rPr>
          <w:rFonts w:hint="eastAsia" w:ascii="仿宋_GB2312" w:hAnsi="Arial" w:eastAsia="仿宋_GB2312" w:cs="Arial"/>
          <w:bCs/>
          <w:sz w:val="28"/>
          <w:szCs w:val="28"/>
          <w:lang w:val="en-US" w:eastAsia="zh-CN"/>
        </w:rPr>
      </w:pPr>
      <w:bookmarkStart w:id="45" w:name="_Toc7693"/>
      <w:r>
        <w:rPr>
          <w:rFonts w:hint="eastAsia" w:ascii="仿宋_GB2312" w:hAnsi="Arial" w:eastAsia="仿宋_GB2312" w:cs="Arial"/>
          <w:bCs/>
          <w:sz w:val="28"/>
          <w:szCs w:val="28"/>
          <w:lang w:val="en-US" w:eastAsia="zh-CN"/>
        </w:rPr>
        <w:t>为扎实做好病媒生物防制工作，有效控制“四害”密度和防止相关传染疾病的发生与流行，保障人民群众健康，通过组建专业消杀队伍，开展摸底调查和培训，针对管理人员和实施人员进行培训，购置专业用品，结合全镇环境综合治理和爱国卫生月活动，广泛发动群众，多方筹措资金、科学消杀，以改善人居环境，提高创卫工作知晓率，降低密度。</w:t>
      </w:r>
    </w:p>
    <w:p>
      <w:pPr>
        <w:pStyle w:val="4"/>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（二）存在的问题及原因分析</w:t>
      </w:r>
      <w:bookmarkEnd w:id="45"/>
    </w:p>
    <w:p>
      <w:pPr>
        <w:pageBreakBefore w:val="0"/>
        <w:widowControl w:val="0"/>
        <w:numPr>
          <w:ilvl w:val="0"/>
          <w:numId w:val="0"/>
        </w:numPr>
        <w:kinsoku/>
        <w:wordWrap/>
        <w:overflowPunct/>
        <w:topLinePunct w:val="0"/>
        <w:autoSpaceDE/>
        <w:autoSpaceDN/>
        <w:bidi w:val="0"/>
        <w:spacing w:beforeAutospacing="0" w:afterAutospacing="0" w:line="560" w:lineRule="exact"/>
        <w:ind w:firstLine="560" w:firstLineChars="200"/>
        <w:textAlignment w:val="auto"/>
        <w:rPr>
          <w:rFonts w:ascii="楷体_GB2312" w:hAnsi="Arial" w:eastAsia="楷体_GB2312" w:cs="Arial"/>
          <w:bCs/>
          <w:sz w:val="28"/>
          <w:szCs w:val="28"/>
        </w:rPr>
      </w:pPr>
      <w:bookmarkStart w:id="46" w:name="_Toc23370"/>
      <w:r>
        <w:rPr>
          <w:rFonts w:hint="eastAsia" w:ascii="仿宋_GB2312" w:hAnsi="Arial" w:eastAsia="仿宋_GB2312" w:cs="Arial"/>
          <w:bCs/>
          <w:sz w:val="28"/>
          <w:szCs w:val="28"/>
          <w:lang w:val="en-US" w:eastAsia="zh-CN"/>
        </w:rPr>
        <w:t>一是</w:t>
      </w:r>
      <w:r>
        <w:rPr>
          <w:rFonts w:hint="eastAsia" w:ascii="仿宋_GB2312" w:hAnsi="Arial" w:eastAsia="仿宋_GB2312" w:cs="Arial"/>
          <w:bCs/>
          <w:sz w:val="28"/>
          <w:szCs w:val="28"/>
        </w:rPr>
        <w:t>绩效目标设置不规范</w:t>
      </w:r>
      <w:r>
        <w:rPr>
          <w:rFonts w:hint="eastAsia" w:ascii="仿宋_GB2312" w:hAnsi="Arial" w:eastAsia="仿宋_GB2312" w:cs="Arial"/>
          <w:bCs/>
          <w:sz w:val="28"/>
          <w:szCs w:val="28"/>
          <w:lang w:eastAsia="zh-CN"/>
        </w:rPr>
        <w:t>，</w:t>
      </w:r>
      <w:r>
        <w:rPr>
          <w:rFonts w:hint="eastAsia" w:ascii="仿宋_GB2312" w:hAnsi="仿宋_GB2312" w:eastAsia="仿宋_GB2312" w:cs="仿宋_GB2312"/>
          <w:bCs/>
          <w:kern w:val="44"/>
          <w:sz w:val="28"/>
          <w:szCs w:val="28"/>
          <w:highlight w:val="none"/>
        </w:rPr>
        <w:t>部分绩效指标设置的细化、量化程度不足</w:t>
      </w:r>
      <w:r>
        <w:rPr>
          <w:rFonts w:hint="eastAsia" w:ascii="仿宋_GB2312" w:hAnsi="仿宋_GB2312" w:eastAsia="仿宋_GB2312" w:cs="仿宋_GB2312"/>
          <w:bCs/>
          <w:kern w:val="44"/>
          <w:sz w:val="28"/>
          <w:szCs w:val="28"/>
          <w:highlight w:val="none"/>
          <w:lang w:eastAsia="zh-CN"/>
        </w:rPr>
        <w:t>；</w:t>
      </w:r>
      <w:r>
        <w:rPr>
          <w:rFonts w:hint="eastAsia" w:ascii="仿宋_GB2312" w:hAnsi="仿宋_GB2312" w:eastAsia="仿宋_GB2312" w:cs="仿宋_GB2312"/>
          <w:bCs/>
          <w:kern w:val="44"/>
          <w:sz w:val="28"/>
          <w:szCs w:val="28"/>
          <w:highlight w:val="none"/>
          <w:lang w:val="en-US" w:eastAsia="zh-CN"/>
        </w:rPr>
        <w:t>二是</w:t>
      </w:r>
      <w:r>
        <w:rPr>
          <w:rFonts w:hint="eastAsia" w:ascii="仿宋_GB2312" w:hAnsi="Times New Roman" w:eastAsia="仿宋_GB2312" w:cs="Times New Roman"/>
          <w:bCs/>
          <w:kern w:val="44"/>
          <w:sz w:val="28"/>
          <w:szCs w:val="28"/>
        </w:rPr>
        <w:t>项目过程管理不</w:t>
      </w:r>
      <w:r>
        <w:rPr>
          <w:rFonts w:hint="eastAsia" w:ascii="仿宋_GB2312" w:hAnsi="Times New Roman" w:eastAsia="仿宋_GB2312" w:cs="Times New Roman"/>
          <w:bCs/>
          <w:kern w:val="44"/>
          <w:sz w:val="28"/>
          <w:szCs w:val="28"/>
          <w:lang w:val="en-US" w:eastAsia="zh-CN"/>
        </w:rPr>
        <w:t>完善</w:t>
      </w:r>
      <w:r>
        <w:rPr>
          <w:rFonts w:hint="eastAsia" w:ascii="仿宋_GB2312" w:eastAsia="仿宋_GB2312" w:cs="Times New Roman"/>
          <w:bCs/>
          <w:kern w:val="44"/>
          <w:sz w:val="28"/>
          <w:szCs w:val="28"/>
          <w:lang w:val="en-US" w:eastAsia="zh-CN"/>
        </w:rPr>
        <w:t>，</w:t>
      </w:r>
      <w:r>
        <w:rPr>
          <w:rFonts w:hint="eastAsia" w:ascii="仿宋_GB2312" w:hAnsi="Arial" w:eastAsia="仿宋_GB2312" w:cs="Arial"/>
          <w:bCs/>
          <w:sz w:val="28"/>
          <w:szCs w:val="28"/>
        </w:rPr>
        <w:t>缺少项目整体实施方案</w:t>
      </w:r>
      <w:r>
        <w:rPr>
          <w:rFonts w:hint="eastAsia" w:ascii="仿宋_GB2312" w:hAnsi="Arial" w:eastAsia="仿宋_GB2312" w:cs="Arial"/>
          <w:bCs/>
          <w:sz w:val="28"/>
          <w:szCs w:val="28"/>
          <w:lang w:val="en-US" w:eastAsia="zh-CN"/>
        </w:rPr>
        <w:t>等内容；</w:t>
      </w:r>
      <w:r>
        <w:rPr>
          <w:rFonts w:hint="eastAsia" w:ascii="仿宋_GB2312" w:eastAsia="仿宋_GB2312" w:cs="Times New Roman"/>
          <w:bCs/>
          <w:kern w:val="44"/>
          <w:sz w:val="28"/>
          <w:szCs w:val="28"/>
          <w:lang w:val="en-US" w:eastAsia="zh-CN"/>
        </w:rPr>
        <w:t>三是</w:t>
      </w:r>
      <w:r>
        <w:rPr>
          <w:rFonts w:hint="eastAsia" w:ascii="仿宋_GB2312" w:hAnsi="Times New Roman" w:eastAsia="仿宋_GB2312" w:cs="Times New Roman"/>
          <w:bCs/>
          <w:kern w:val="44"/>
          <w:sz w:val="28"/>
          <w:szCs w:val="28"/>
        </w:rPr>
        <w:t>项目产出及绩效呈现不够充分</w:t>
      </w:r>
      <w:r>
        <w:rPr>
          <w:rFonts w:hint="eastAsia" w:ascii="仿宋_GB2312" w:eastAsia="仿宋_GB2312" w:cs="Times New Roman"/>
          <w:bCs/>
          <w:kern w:val="44"/>
          <w:sz w:val="28"/>
          <w:szCs w:val="28"/>
          <w:lang w:eastAsia="zh-CN"/>
        </w:rPr>
        <w:t>，</w:t>
      </w:r>
      <w:r>
        <w:rPr>
          <w:rFonts w:hint="eastAsia" w:ascii="仿宋_GB2312" w:hAnsi="Arial" w:eastAsia="仿宋_GB2312" w:cs="Arial"/>
          <w:bCs/>
          <w:sz w:val="28"/>
          <w:szCs w:val="28"/>
        </w:rPr>
        <w:t>缺</w:t>
      </w:r>
      <w:r>
        <w:rPr>
          <w:rFonts w:hint="eastAsia" w:ascii="仿宋_GB2312" w:hAnsi="Arial" w:eastAsia="仿宋_GB2312" w:cs="Arial"/>
          <w:bCs/>
          <w:sz w:val="28"/>
          <w:szCs w:val="28"/>
          <w:lang w:val="en-US" w:eastAsia="zh-CN"/>
        </w:rPr>
        <w:t>少具体对比数据及总结分析</w:t>
      </w:r>
      <w:r>
        <w:rPr>
          <w:rFonts w:hint="eastAsia" w:ascii="仿宋_GB2312" w:hAnsi="Arial" w:eastAsia="仿宋_GB2312" w:cs="Arial"/>
          <w:bCs/>
          <w:sz w:val="28"/>
          <w:szCs w:val="28"/>
        </w:rPr>
        <w:t>。</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rPr>
      </w:pPr>
      <w:bookmarkStart w:id="47" w:name="_Toc9295"/>
      <w:r>
        <w:rPr>
          <w:rFonts w:hint="eastAsia" w:ascii="黑体" w:hAnsi="黑体" w:eastAsia="黑体"/>
          <w:b w:val="0"/>
          <w:sz w:val="28"/>
          <w:szCs w:val="28"/>
        </w:rPr>
        <w:t>六、有关建议</w:t>
      </w:r>
      <w:bookmarkEnd w:id="46"/>
      <w:bookmarkEnd w:id="47"/>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ascii="仿宋_GB2312" w:hAnsi="Arial" w:eastAsia="仿宋_GB2312" w:cs="Arial"/>
          <w:bCs/>
          <w:sz w:val="28"/>
          <w:szCs w:val="28"/>
        </w:rPr>
      </w:pPr>
      <w:bookmarkStart w:id="48" w:name="_Toc11683"/>
      <w:r>
        <w:rPr>
          <w:rFonts w:hint="eastAsia" w:ascii="仿宋_GB2312" w:hAnsi="仿宋_GB2312" w:eastAsia="仿宋_GB2312" w:cs="仿宋_GB2312"/>
          <w:bCs/>
          <w:kern w:val="44"/>
          <w:sz w:val="28"/>
          <w:szCs w:val="28"/>
          <w:lang w:val="en-US" w:eastAsia="zh-CN"/>
        </w:rPr>
        <w:t>一是</w:t>
      </w:r>
      <w:r>
        <w:rPr>
          <w:rFonts w:hint="eastAsia" w:ascii="仿宋_GB2312" w:hAnsi="仿宋_GB2312" w:eastAsia="仿宋_GB2312" w:cs="仿宋_GB2312"/>
          <w:bCs/>
          <w:kern w:val="44"/>
          <w:sz w:val="28"/>
          <w:szCs w:val="28"/>
        </w:rPr>
        <w:t>科学合理设定绩效目标及绩效指标</w:t>
      </w:r>
      <w:r>
        <w:rPr>
          <w:rFonts w:hint="eastAsia" w:ascii="仿宋_GB2312" w:hAnsi="仿宋_GB2312" w:eastAsia="仿宋_GB2312" w:cs="仿宋_GB2312"/>
          <w:bCs/>
          <w:kern w:val="44"/>
          <w:sz w:val="28"/>
          <w:szCs w:val="28"/>
          <w:lang w:eastAsia="zh-CN"/>
        </w:rPr>
        <w:t>，</w:t>
      </w:r>
      <w:r>
        <w:rPr>
          <w:rFonts w:hint="eastAsia" w:ascii="仿宋_GB2312" w:hAnsi="Arial" w:eastAsia="仿宋_GB2312" w:cs="Arial"/>
          <w:bCs/>
          <w:sz w:val="28"/>
          <w:szCs w:val="28"/>
        </w:rPr>
        <w:t>明确项目实施内容</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二是</w:t>
      </w:r>
      <w:r>
        <w:rPr>
          <w:rFonts w:hint="eastAsia" w:ascii="仿宋_GB2312" w:hAnsi="仿宋_GB2312" w:eastAsia="仿宋_GB2312" w:cs="仿宋_GB2312"/>
          <w:bCs/>
          <w:kern w:val="44"/>
          <w:sz w:val="28"/>
          <w:szCs w:val="28"/>
        </w:rPr>
        <w:t>加强过程管理规范性</w:t>
      </w:r>
      <w:r>
        <w:rPr>
          <w:rFonts w:hint="eastAsia" w:ascii="仿宋_GB2312" w:hAnsi="仿宋_GB2312" w:eastAsia="仿宋_GB2312" w:cs="仿宋_GB2312"/>
          <w:bCs/>
          <w:kern w:val="44"/>
          <w:sz w:val="28"/>
          <w:szCs w:val="28"/>
          <w:lang w:eastAsia="zh-CN"/>
        </w:rPr>
        <w:t>，</w:t>
      </w:r>
      <w:r>
        <w:rPr>
          <w:rFonts w:hint="eastAsia" w:ascii="仿宋_GB2312" w:hAnsi="Arial" w:eastAsia="仿宋_GB2312" w:cs="Arial"/>
          <w:bCs/>
          <w:sz w:val="28"/>
          <w:szCs w:val="28"/>
        </w:rPr>
        <w:t>建议制定整体实施方案</w:t>
      </w:r>
      <w:r>
        <w:rPr>
          <w:rFonts w:hint="eastAsia" w:ascii="仿宋_GB2312" w:hAnsi="Arial" w:eastAsia="仿宋_GB2312" w:cs="Arial"/>
          <w:bCs/>
          <w:sz w:val="28"/>
          <w:szCs w:val="28"/>
          <w:lang w:eastAsia="zh-CN"/>
        </w:rPr>
        <w:t>；</w:t>
      </w:r>
      <w:r>
        <w:rPr>
          <w:rFonts w:hint="eastAsia" w:ascii="仿宋_GB2312" w:hAnsi="Arial" w:eastAsia="仿宋_GB2312" w:cs="Arial"/>
          <w:bCs/>
          <w:sz w:val="28"/>
          <w:szCs w:val="28"/>
          <w:lang w:val="en-US" w:eastAsia="zh-CN"/>
        </w:rPr>
        <w:t>三是</w:t>
      </w:r>
      <w:r>
        <w:rPr>
          <w:rFonts w:hint="eastAsia" w:ascii="仿宋_GB2312" w:hAnsi="仿宋_GB2312" w:eastAsia="仿宋_GB2312" w:cs="仿宋_GB2312"/>
          <w:bCs/>
          <w:kern w:val="44"/>
          <w:sz w:val="28"/>
          <w:szCs w:val="28"/>
        </w:rPr>
        <w:t>充分呈现项目实施</w:t>
      </w:r>
      <w:r>
        <w:rPr>
          <w:rFonts w:hint="eastAsia" w:ascii="仿宋_GB2312" w:hAnsi="仿宋_GB2312" w:eastAsia="仿宋_GB2312" w:cs="仿宋_GB2312"/>
          <w:bCs/>
          <w:kern w:val="44"/>
          <w:sz w:val="28"/>
          <w:szCs w:val="28"/>
          <w:lang w:val="en-US" w:eastAsia="zh-CN"/>
        </w:rPr>
        <w:t>绩效，</w:t>
      </w:r>
      <w:bookmarkStart w:id="49" w:name="_Toc25706"/>
      <w:r>
        <w:rPr>
          <w:rFonts w:hint="eastAsia" w:ascii="仿宋_GB2312" w:hAnsi="Arial" w:eastAsia="仿宋_GB2312" w:cs="Arial"/>
          <w:bCs/>
          <w:sz w:val="28"/>
          <w:szCs w:val="28"/>
        </w:rPr>
        <w:t>建议加强项目绩效成果的全面体现，</w:t>
      </w:r>
      <w:r>
        <w:rPr>
          <w:rFonts w:hint="eastAsia" w:ascii="仿宋_GB2312" w:hAnsi="Arial" w:eastAsia="仿宋_GB2312" w:cs="Arial"/>
          <w:bCs/>
          <w:sz w:val="28"/>
          <w:szCs w:val="28"/>
          <w:lang w:val="en-US" w:eastAsia="zh-CN"/>
        </w:rPr>
        <w:t>可从</w:t>
      </w:r>
      <w:r>
        <w:rPr>
          <w:rFonts w:hint="eastAsia" w:ascii="仿宋_GB2312" w:hAnsi="Arial" w:eastAsia="仿宋_GB2312" w:cs="Arial"/>
          <w:bCs/>
          <w:sz w:val="28"/>
          <w:szCs w:val="28"/>
        </w:rPr>
        <w:t>“防制宣传后居民正确使用防蚊工具、清理孳生地的行为改变比例</w:t>
      </w:r>
      <w:r>
        <w:rPr>
          <w:rFonts w:hint="eastAsia" w:ascii="仿宋_GB2312" w:hAnsi="Arial" w:eastAsia="仿宋_GB2312" w:cs="Arial"/>
          <w:bCs/>
          <w:sz w:val="28"/>
          <w:szCs w:val="28"/>
          <w:lang w:eastAsia="zh-CN"/>
        </w:rPr>
        <w:t>、病媒生物密度指数、</w:t>
      </w:r>
      <w:r>
        <w:rPr>
          <w:rFonts w:hint="eastAsia" w:ascii="仿宋_GB2312" w:hAnsi="Arial" w:eastAsia="仿宋_GB2312" w:cs="Arial"/>
          <w:bCs/>
          <w:sz w:val="28"/>
          <w:szCs w:val="28"/>
          <w:lang w:val="en-US" w:eastAsia="zh-CN"/>
        </w:rPr>
        <w:t>病媒防制工作覆盖率</w:t>
      </w:r>
      <w:r>
        <w:rPr>
          <w:rFonts w:hint="eastAsia" w:ascii="仿宋_GB2312" w:hAnsi="Arial" w:eastAsia="仿宋_GB2312" w:cs="Arial"/>
          <w:bCs/>
          <w:sz w:val="28"/>
          <w:szCs w:val="28"/>
        </w:rPr>
        <w:t>”</w:t>
      </w:r>
      <w:r>
        <w:rPr>
          <w:rFonts w:hint="eastAsia" w:ascii="仿宋_GB2312" w:hAnsi="Arial" w:eastAsia="仿宋_GB2312" w:cs="Arial"/>
          <w:bCs/>
          <w:sz w:val="28"/>
          <w:szCs w:val="28"/>
          <w:lang w:val="en-US" w:eastAsia="zh-CN"/>
        </w:rPr>
        <w:t>等</w:t>
      </w:r>
      <w:r>
        <w:rPr>
          <w:rFonts w:hint="eastAsia" w:ascii="仿宋_GB2312" w:hAnsi="Arial" w:eastAsia="仿宋_GB2312" w:cs="Arial"/>
          <w:bCs/>
          <w:sz w:val="28"/>
          <w:szCs w:val="28"/>
        </w:rPr>
        <w:t>方面充分呈现项目实施效果，完善与往年的对比分析总结。</w:t>
      </w:r>
      <w:r>
        <w:rPr>
          <w:rFonts w:hint="eastAsia" w:ascii="仿宋_GB2312" w:hAnsi="Arial" w:eastAsia="仿宋_GB2312" w:cs="Arial"/>
          <w:bCs/>
          <w:sz w:val="28"/>
          <w:szCs w:val="28"/>
          <w:lang w:val="en-US" w:eastAsia="zh-CN"/>
        </w:rPr>
        <w:t>提高</w:t>
      </w:r>
      <w:r>
        <w:rPr>
          <w:rFonts w:hint="eastAsia" w:ascii="仿宋_GB2312" w:hAnsi="Arial" w:eastAsia="仿宋_GB2312" w:cs="Arial"/>
          <w:bCs/>
          <w:sz w:val="28"/>
          <w:szCs w:val="28"/>
        </w:rPr>
        <w:t>项目服务对象满意度调查工作</w:t>
      </w:r>
      <w:r>
        <w:rPr>
          <w:rFonts w:hint="eastAsia" w:ascii="仿宋_GB2312" w:hAnsi="Arial" w:eastAsia="仿宋_GB2312" w:cs="Arial"/>
          <w:bCs/>
          <w:sz w:val="28"/>
          <w:szCs w:val="28"/>
          <w:lang w:val="en-US" w:eastAsia="zh-CN"/>
        </w:rPr>
        <w:t>有效性</w:t>
      </w:r>
      <w:r>
        <w:rPr>
          <w:rFonts w:hint="eastAsia" w:ascii="仿宋_GB2312" w:hAnsi="Arial" w:eastAsia="仿宋_GB2312" w:cs="Arial"/>
          <w:bCs/>
          <w:sz w:val="28"/>
          <w:szCs w:val="28"/>
        </w:rPr>
        <w:t>，</w:t>
      </w:r>
      <w:r>
        <w:rPr>
          <w:rFonts w:hint="eastAsia" w:ascii="仿宋_GB2312" w:hAnsi="Arial" w:eastAsia="仿宋_GB2312" w:cs="Arial"/>
          <w:bCs/>
          <w:sz w:val="28"/>
          <w:szCs w:val="28"/>
          <w:lang w:val="en-US" w:eastAsia="zh-CN"/>
        </w:rPr>
        <w:t>明确</w:t>
      </w:r>
      <w:r>
        <w:rPr>
          <w:rFonts w:hint="eastAsia" w:ascii="仿宋_GB2312" w:hAnsi="Arial" w:eastAsia="仿宋_GB2312" w:cs="Arial"/>
          <w:bCs/>
          <w:sz w:val="28"/>
          <w:szCs w:val="28"/>
        </w:rPr>
        <w:t>满意度调查样本覆盖范围。</w:t>
      </w:r>
    </w:p>
    <w:p>
      <w:pPr>
        <w:pStyle w:val="3"/>
        <w:pageBreakBefore w:val="0"/>
        <w:widowControl w:val="0"/>
        <w:kinsoku/>
        <w:wordWrap/>
        <w:overflowPunct/>
        <w:topLinePunct w:val="0"/>
        <w:autoSpaceDE/>
        <w:autoSpaceDN/>
        <w:bidi w:val="0"/>
        <w:spacing w:before="0" w:beforeAutospacing="0" w:after="0" w:afterAutospacing="0" w:line="560" w:lineRule="exact"/>
        <w:ind w:firstLine="560" w:firstLineChars="200"/>
        <w:textAlignment w:val="auto"/>
        <w:rPr>
          <w:rFonts w:hint="eastAsia" w:ascii="黑体" w:hAnsi="黑体" w:eastAsia="黑体"/>
          <w:b w:val="0"/>
          <w:sz w:val="28"/>
          <w:szCs w:val="28"/>
        </w:rPr>
      </w:pPr>
      <w:r>
        <w:rPr>
          <w:rFonts w:hint="eastAsia" w:ascii="黑体" w:hAnsi="黑体" w:eastAsia="黑体"/>
          <w:b w:val="0"/>
          <w:sz w:val="28"/>
          <w:szCs w:val="28"/>
        </w:rPr>
        <w:t>七、其他需要说明的问题</w:t>
      </w:r>
      <w:bookmarkEnd w:id="48"/>
      <w:bookmarkEnd w:id="49"/>
    </w:p>
    <w:p>
      <w:pPr>
        <w:pageBreakBefore w:val="0"/>
        <w:widowControl w:val="0"/>
        <w:kinsoku/>
        <w:wordWrap/>
        <w:overflowPunct/>
        <w:topLinePunct w:val="0"/>
        <w:autoSpaceDE/>
        <w:autoSpaceDN/>
        <w:bidi w:val="0"/>
        <w:spacing w:beforeAutospacing="0" w:afterAutospacing="0" w:line="560" w:lineRule="exact"/>
        <w:ind w:firstLine="560" w:firstLineChars="200"/>
        <w:textAlignment w:val="auto"/>
        <w:rPr>
          <w:rFonts w:hint="eastAsia"/>
          <w:sz w:val="28"/>
          <w:szCs w:val="28"/>
        </w:rPr>
      </w:pPr>
      <w:r>
        <w:rPr>
          <w:rFonts w:hint="eastAsia" w:ascii="仿宋_GB2312" w:hAnsi="仿宋_GB2312" w:eastAsia="仿宋_GB2312" w:cs="仿宋_GB2312"/>
          <w:bCs/>
          <w:kern w:val="44"/>
          <w:sz w:val="28"/>
          <w:szCs w:val="28"/>
          <w:lang w:val="en-US" w:eastAsia="zh-CN"/>
        </w:rPr>
        <w:t>无</w:t>
      </w:r>
      <w:r>
        <w:rPr>
          <w:rFonts w:hint="eastAsia" w:ascii="仿宋_GB2312" w:hAnsi="仿宋_GB2312" w:eastAsia="仿宋_GB2312" w:cs="仿宋_GB2312"/>
          <w:bCs/>
          <w:kern w:val="44"/>
          <w:sz w:val="28"/>
          <w:szCs w:val="28"/>
        </w:rPr>
        <w:t>。</w:t>
      </w:r>
    </w:p>
    <w:p>
      <w:pPr>
        <w:rPr>
          <w:rFonts w:hint="eastAsia" w:ascii="仿宋_GB2312" w:hAnsi="仿宋_GB2312" w:eastAsia="仿宋_GB2312" w:cs="仿宋_GB2312"/>
          <w:sz w:val="32"/>
          <w:szCs w:val="32"/>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3</w: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5</w: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8"/>
      </w:rPr>
    </w:pPr>
    <w:r>
      <w:fldChar w:fldCharType="begin"/>
    </w:r>
    <w:r>
      <w:rPr>
        <w:rStyle w:val="18"/>
      </w:rPr>
      <w:instrText xml:space="preserve">PAGE  </w:instrText>
    </w:r>
    <w:r>
      <w:fldChar w:fldCharType="separate"/>
    </w:r>
    <w:r>
      <w:rPr>
        <w:rStyle w:val="18"/>
      </w:rPr>
      <w:t>15</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F450C7"/>
    <w:rsid w:val="04C3537C"/>
    <w:rsid w:val="079004AC"/>
    <w:rsid w:val="08261874"/>
    <w:rsid w:val="0BA148CA"/>
    <w:rsid w:val="0C1165C4"/>
    <w:rsid w:val="0D6D544B"/>
    <w:rsid w:val="0DD136FE"/>
    <w:rsid w:val="0F542F2C"/>
    <w:rsid w:val="0F8E2C57"/>
    <w:rsid w:val="1059665E"/>
    <w:rsid w:val="10AC13BA"/>
    <w:rsid w:val="10B33874"/>
    <w:rsid w:val="145A6C1B"/>
    <w:rsid w:val="14B73493"/>
    <w:rsid w:val="167A2FF9"/>
    <w:rsid w:val="16F73969"/>
    <w:rsid w:val="1764587C"/>
    <w:rsid w:val="18581C69"/>
    <w:rsid w:val="1AEC0734"/>
    <w:rsid w:val="1DEF20B0"/>
    <w:rsid w:val="1FF7AB17"/>
    <w:rsid w:val="214243FA"/>
    <w:rsid w:val="219A6CC1"/>
    <w:rsid w:val="21AD613C"/>
    <w:rsid w:val="22467189"/>
    <w:rsid w:val="239F4465"/>
    <w:rsid w:val="24CB6F74"/>
    <w:rsid w:val="257A14F5"/>
    <w:rsid w:val="27196C26"/>
    <w:rsid w:val="29EF086F"/>
    <w:rsid w:val="2B6A23CA"/>
    <w:rsid w:val="2BC34C59"/>
    <w:rsid w:val="2C5C3D3F"/>
    <w:rsid w:val="2EFFE297"/>
    <w:rsid w:val="301437CA"/>
    <w:rsid w:val="349D1F0A"/>
    <w:rsid w:val="34DD0473"/>
    <w:rsid w:val="37081E54"/>
    <w:rsid w:val="3A8E35DC"/>
    <w:rsid w:val="3C684897"/>
    <w:rsid w:val="433E495C"/>
    <w:rsid w:val="489F2FD7"/>
    <w:rsid w:val="49886D72"/>
    <w:rsid w:val="4AC27CB3"/>
    <w:rsid w:val="4ACD015A"/>
    <w:rsid w:val="4BF72BEF"/>
    <w:rsid w:val="4FA90297"/>
    <w:rsid w:val="4FC41A43"/>
    <w:rsid w:val="51DB3C59"/>
    <w:rsid w:val="544616FF"/>
    <w:rsid w:val="54623C1C"/>
    <w:rsid w:val="550C0952"/>
    <w:rsid w:val="55762E42"/>
    <w:rsid w:val="57A7B272"/>
    <w:rsid w:val="58470068"/>
    <w:rsid w:val="58747CAC"/>
    <w:rsid w:val="5A022FAB"/>
    <w:rsid w:val="5A1720F9"/>
    <w:rsid w:val="5AD5729B"/>
    <w:rsid w:val="5B9C37C2"/>
    <w:rsid w:val="5BA7C654"/>
    <w:rsid w:val="5DF716AE"/>
    <w:rsid w:val="5F9F507E"/>
    <w:rsid w:val="60A54109"/>
    <w:rsid w:val="61D01CDF"/>
    <w:rsid w:val="64C0607C"/>
    <w:rsid w:val="65756C86"/>
    <w:rsid w:val="674D385B"/>
    <w:rsid w:val="676F09E1"/>
    <w:rsid w:val="6CC10F76"/>
    <w:rsid w:val="6E162CD9"/>
    <w:rsid w:val="6EB45CAC"/>
    <w:rsid w:val="71691990"/>
    <w:rsid w:val="71793A80"/>
    <w:rsid w:val="7357290B"/>
    <w:rsid w:val="756E3DEA"/>
    <w:rsid w:val="76FB1693"/>
    <w:rsid w:val="798524E4"/>
    <w:rsid w:val="7A7F1C49"/>
    <w:rsid w:val="7B5B7AE6"/>
    <w:rsid w:val="7B7B6628"/>
    <w:rsid w:val="7BA7071E"/>
    <w:rsid w:val="7BDF6DA8"/>
    <w:rsid w:val="7C7EDC1A"/>
    <w:rsid w:val="7CC44C11"/>
    <w:rsid w:val="7CCED98D"/>
    <w:rsid w:val="7D08410F"/>
    <w:rsid w:val="7DB96DED"/>
    <w:rsid w:val="7DD3AD81"/>
    <w:rsid w:val="7DDF2E08"/>
    <w:rsid w:val="7DF76E93"/>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6">
    <w:name w:val="Default Paragraph Font"/>
    <w:autoRedefine/>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szCs w:val="21"/>
    </w:rPr>
  </w:style>
  <w:style w:type="paragraph" w:styleId="5">
    <w:name w:val="Normal Indent"/>
    <w:basedOn w:val="1"/>
    <w:autoRedefine/>
    <w:qFormat/>
    <w:uiPriority w:val="0"/>
    <w:pPr>
      <w:ind w:firstLine="200" w:firstLineChars="200"/>
    </w:pPr>
  </w:style>
  <w:style w:type="paragraph" w:styleId="6">
    <w:name w:val="Body Text"/>
    <w:basedOn w:val="1"/>
    <w:next w:val="7"/>
    <w:autoRedefine/>
    <w:unhideWhenUsed/>
    <w:qFormat/>
    <w:uiPriority w:val="99"/>
  </w:style>
  <w:style w:type="paragraph" w:customStyle="1" w:styleId="7">
    <w:name w:val="toc 11"/>
    <w:next w:val="1"/>
    <w:autoRedefine/>
    <w:qFormat/>
    <w:uiPriority w:val="0"/>
    <w:pPr>
      <w:wordWrap w:val="0"/>
      <w:jc w:val="both"/>
    </w:pPr>
    <w:rPr>
      <w:rFonts w:ascii="Times New Roman" w:hAnsi="Times New Roman" w:eastAsia="宋体" w:cs="Times New Roman"/>
      <w:sz w:val="21"/>
      <w:szCs w:val="22"/>
      <w:lang w:val="en-US" w:eastAsia="zh-CN" w:bidi="ar-SA"/>
    </w:rPr>
  </w:style>
  <w:style w:type="paragraph" w:styleId="8">
    <w:name w:val="Body Text Indent"/>
    <w:basedOn w:val="1"/>
    <w:autoRedefine/>
    <w:qFormat/>
    <w:uiPriority w:val="0"/>
    <w:pPr>
      <w:ind w:firstLine="645"/>
    </w:pPr>
    <w:rPr>
      <w:rFonts w:ascii="仿宋_GB2312" w:hAnsi="Calibri" w:eastAsia="仿宋_GB2312"/>
      <w:sz w:val="32"/>
      <w:szCs w:val="32"/>
    </w:rPr>
  </w:style>
  <w:style w:type="paragraph" w:styleId="9">
    <w:name w:val="Date"/>
    <w:basedOn w:val="1"/>
    <w:next w:val="1"/>
    <w:autoRedefine/>
    <w:qFormat/>
    <w:uiPriority w:val="0"/>
    <w:pPr>
      <w:ind w:left="100" w:leftChars="2500"/>
    </w:pPr>
  </w:style>
  <w:style w:type="paragraph" w:styleId="10">
    <w:name w:val="Balloon Text"/>
    <w:basedOn w:val="1"/>
    <w:autoRedefine/>
    <w:semiHidden/>
    <w:qFormat/>
    <w:uiPriority w:val="0"/>
    <w:rPr>
      <w:sz w:val="18"/>
      <w:szCs w:val="18"/>
    </w:rPr>
  </w:style>
  <w:style w:type="paragraph" w:styleId="11">
    <w:name w:val="footer"/>
    <w:basedOn w:val="1"/>
    <w:link w:val="19"/>
    <w:autoRedefine/>
    <w:qFormat/>
    <w:uiPriority w:val="0"/>
    <w:pPr>
      <w:tabs>
        <w:tab w:val="center" w:pos="4153"/>
        <w:tab w:val="right" w:pos="8306"/>
      </w:tabs>
      <w:snapToGrid w:val="0"/>
      <w:jc w:val="left"/>
    </w:pPr>
    <w:rPr>
      <w:sz w:val="18"/>
      <w:szCs w:val="18"/>
    </w:rPr>
  </w:style>
  <w:style w:type="paragraph" w:styleId="12">
    <w:name w:val="header"/>
    <w:basedOn w:val="1"/>
    <w:link w:val="20"/>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index 9"/>
    <w:basedOn w:val="1"/>
    <w:next w:val="1"/>
    <w:unhideWhenUsed/>
    <w:qFormat/>
    <w:uiPriority w:val="99"/>
    <w:pPr>
      <w:ind w:firstLine="420"/>
    </w:pPr>
    <w:rPr>
      <w:rFonts w:eastAsia="仿宋_GB2312"/>
      <w:bCs/>
      <w:sz w:val="28"/>
      <w:szCs w:val="28"/>
    </w:rPr>
  </w:style>
  <w:style w:type="paragraph" w:styleId="14">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7">
    <w:name w:val="Strong"/>
    <w:autoRedefine/>
    <w:qFormat/>
    <w:uiPriority w:val="0"/>
    <w:rPr>
      <w:b/>
    </w:rPr>
  </w:style>
  <w:style w:type="character" w:styleId="18">
    <w:name w:val="page number"/>
    <w:autoRedefine/>
    <w:qFormat/>
    <w:uiPriority w:val="0"/>
  </w:style>
  <w:style w:type="character" w:customStyle="1" w:styleId="19">
    <w:name w:val="页脚 Char"/>
    <w:link w:val="11"/>
    <w:autoRedefine/>
    <w:qFormat/>
    <w:uiPriority w:val="0"/>
    <w:rPr>
      <w:rFonts w:eastAsia="宋体"/>
      <w:kern w:val="2"/>
      <w:sz w:val="18"/>
      <w:szCs w:val="18"/>
      <w:lang w:val="en-US" w:eastAsia="zh-CN" w:bidi="ar-SA"/>
    </w:rPr>
  </w:style>
  <w:style w:type="character" w:customStyle="1" w:styleId="20">
    <w:name w:val="页眉 Char"/>
    <w:link w:val="12"/>
    <w:autoRedefine/>
    <w:qFormat/>
    <w:uiPriority w:val="0"/>
    <w:rPr>
      <w:rFonts w:ascii="Calibri" w:hAnsi="Calibri" w:eastAsia="宋体"/>
      <w:kern w:val="2"/>
      <w:sz w:val="18"/>
      <w:szCs w:val="18"/>
      <w:lang w:val="en-US" w:eastAsia="zh-CN" w:bidi="ar-SA"/>
    </w:rPr>
  </w:style>
  <w:style w:type="paragraph" w:customStyle="1" w:styleId="21">
    <w:name w:val="Char Char Char Char Char Char Char"/>
    <w:basedOn w:val="1"/>
    <w:autoRedefine/>
    <w:qFormat/>
    <w:uiPriority w:val="0"/>
    <w:rPr>
      <w:rFonts w:ascii="Tahoma" w:hAnsi="Tahoma"/>
      <w:sz w:val="24"/>
      <w:szCs w:val="20"/>
    </w:rPr>
  </w:style>
  <w:style w:type="paragraph" w:customStyle="1" w:styleId="22">
    <w:name w:val="Char1 Char Char Char"/>
    <w:basedOn w:val="1"/>
    <w:autoRedefine/>
    <w:qFormat/>
    <w:uiPriority w:val="0"/>
    <w:pPr>
      <w:widowControl/>
      <w:spacing w:after="160" w:line="240" w:lineRule="exact"/>
      <w:jc w:val="left"/>
    </w:pPr>
    <w:rPr>
      <w:szCs w:val="20"/>
    </w:rPr>
  </w:style>
  <w:style w:type="paragraph" w:customStyle="1" w:styleId="23">
    <w:name w:val="Char"/>
    <w:basedOn w:val="1"/>
    <w:autoRedefine/>
    <w:qFormat/>
    <w:uiPriority w:val="0"/>
    <w:rPr>
      <w:rFonts w:ascii="Tahoma" w:hAnsi="Tahoma"/>
      <w:sz w:val="24"/>
      <w:szCs w:val="20"/>
    </w:rPr>
  </w:style>
  <w:style w:type="paragraph" w:customStyle="1" w:styleId="24">
    <w:name w:val="Char Char3 Char Char"/>
    <w:basedOn w:val="1"/>
    <w:autoRedefine/>
    <w:qFormat/>
    <w:uiPriority w:val="0"/>
    <w:rPr>
      <w:szCs w:val="21"/>
    </w:rPr>
  </w:style>
  <w:style w:type="paragraph" w:styleId="25">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5"/>
              <c:layout>
                <c:manualLayout>
                  <c:x val="0.138468907503697"/>
                  <c:y val="0.0063184016223110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41718.22</c:v>
                </c:pt>
                <c:pt idx="1">
                  <c:v>0</c:v>
                </c:pt>
                <c:pt idx="2">
                  <c:v>10083.63</c:v>
                </c:pt>
                <c:pt idx="3">
                  <c:v>0</c:v>
                </c:pt>
                <c:pt idx="4">
                  <c:v>0</c:v>
                </c:pt>
                <c:pt idx="5">
                  <c:v>1503.81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0930555555555555"/>
                  <c:y val="-0.026851851851851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945443249141658"/>
                  <c:y val="0.014446414695247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17146.41</c:v>
                </c:pt>
                <c:pt idx="1">
                  <c:v>34345.78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268</Words>
  <Characters>286</Characters>
  <Lines>44</Lines>
  <Paragraphs>12</Paragraphs>
  <TotalTime>44</TotalTime>
  <ScaleCrop>false</ScaleCrop>
  <LinksUpToDate>false</LinksUpToDate>
  <CharactersWithSpaces>298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AA66</cp:lastModifiedBy>
  <cp:lastPrinted>2020-08-09T03:39:00Z</cp:lastPrinted>
  <dcterms:modified xsi:type="dcterms:W3CDTF">2025-10-15T02:08:21Z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