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outlineLvl w:val="9"/>
        <w:rPr>
          <w:color w:val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大兴区北臧村镇人民政府2025年上半年预算调整公开套表的说明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left"/>
        <w:textAlignment w:val="auto"/>
        <w:outlineLvl w:val="9"/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一、大兴区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2025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镇级一般公共预算总收入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预计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由年初预算的</w:t>
      </w:r>
      <w:bookmarkStart w:id="0" w:name="OLE_LINK8"/>
      <w:r>
        <w:rPr>
          <w:rFonts w:hint="eastAsia" w:ascii="仿宋_GB2312" w:hAnsi="Calibri" w:eastAsia="仿宋_GB2312"/>
          <w:color w:val="auto"/>
          <w:sz w:val="32"/>
          <w:szCs w:val="32"/>
          <w:highlight w:val="none"/>
          <w:lang w:val="en-US" w:eastAsia="zh-CN" w:bidi="ar-SA"/>
        </w:rPr>
        <w:t>26893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万元，调整为</w:t>
      </w:r>
      <w:bookmarkStart w:id="1" w:name="OLE_LINK9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30699</w:t>
      </w:r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3806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14.15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上级追加转移支付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二、大兴区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2025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2025年一般公共预算支出预算安排26893万元，调整为30699万元，增加3806万元。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ascii="黑体" w:hAnsi="黑体" w:eastAsia="黑体"/>
          <w:b/>
          <w:color w:val="auto"/>
          <w:sz w:val="32"/>
          <w:szCs w:val="30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三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2025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明细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一般公共预算支出调整为</w:t>
      </w:r>
      <w:bookmarkStart w:id="2" w:name="OLE_LINK6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30699</w:t>
      </w:r>
      <w:bookmarkEnd w:id="2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一般公共服务支出预算安排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4477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4525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增加了人员经费和党建工作经费方面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3" w:name="OLE_LINK3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北臧村镇成人学校运行经费补助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支出。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文化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261.5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调整了文化宣传方面支出。</w:t>
      </w:r>
    </w:p>
    <w:bookmarkEnd w:id="3"/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社会保障和就业支出预算安排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3367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3552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上级追加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社会保障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及就业等转移支付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卫生健康支出预算安排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3256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bookmarkStart w:id="4" w:name="OLE_LINK4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3349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上级追加基本公共卫生、计划生育补助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相关资金支出。</w:t>
      </w:r>
    </w:p>
    <w:bookmarkEnd w:id="4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节能环保支出预算安排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上级追加非正规垃圾填埋场整治（专项）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及大气精细化治理项目（专项）支出。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3589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3251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万元，主要是新增疏解整治促提升专项资金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主动精准治理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、政府餐饮服务及食材采买服务项目支出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及装修建筑垃圾清运等项目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2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农林水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11659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12258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</w:t>
      </w:r>
      <w:bookmarkStart w:id="7" w:name="_GoBack"/>
      <w:bookmarkEnd w:id="7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万元，主要是新增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上级追加大兴区平原生态林养护及土地流转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本级预备费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，无调整变化。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四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镇级政府性基金预算支出由年初预算的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2576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bookmarkStart w:id="5" w:name="OLE_LINK1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4787</w:t>
      </w:r>
      <w:bookmarkEnd w:id="5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五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镇级政府性基金预算支出由年初预算的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2576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4787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bookmarkStart w:id="6" w:name="OLE_LINK2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25</w:t>
      </w:r>
      <w:bookmarkEnd w:id="6"/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4700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上级追加路灯照明、积水点治理等政府投资工程及耕地保护补偿方面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六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其他重要事项说明</w:t>
      </w:r>
      <w:r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预算绩效工作开展情况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北臧村镇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进一步深化全面实施预算绩效管理，不断强化预算绩效深度融合。一是积极推进绩效目标管理，实现绩效目标全覆盖，夯实预算绩效管理基础。二是继续开展事前评估工作，实现绩效管理重心前移。三是绩效运行监控全面铺开，强化项目过程管理。四是积极开展绩效评价工作，不断提升财政资金使用效益。五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按区财政局要求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大力推进成本绩效分析。</w:t>
      </w: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50B07EEB"/>
    <w:rsid w:val="0AFE6E5F"/>
    <w:rsid w:val="0CC917CC"/>
    <w:rsid w:val="0DA73DB3"/>
    <w:rsid w:val="1B2C5C22"/>
    <w:rsid w:val="22DB72A4"/>
    <w:rsid w:val="27572079"/>
    <w:rsid w:val="2B346570"/>
    <w:rsid w:val="2D661482"/>
    <w:rsid w:val="372A6B90"/>
    <w:rsid w:val="3C241E9D"/>
    <w:rsid w:val="3CF43CC6"/>
    <w:rsid w:val="3F743193"/>
    <w:rsid w:val="428E2F71"/>
    <w:rsid w:val="48B47AD7"/>
    <w:rsid w:val="4F7F76BE"/>
    <w:rsid w:val="50B07EEB"/>
    <w:rsid w:val="51D610EC"/>
    <w:rsid w:val="5D6D6E95"/>
    <w:rsid w:val="60690E7E"/>
    <w:rsid w:val="69EC15DA"/>
    <w:rsid w:val="730424FD"/>
    <w:rsid w:val="799A31A2"/>
    <w:rsid w:val="7C39225B"/>
    <w:rsid w:val="7CC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spacing w:line="400" w:lineRule="atLeast"/>
      <w:ind w:left="-76" w:right="-69" w:rightChars="-33" w:firstLine="200" w:firstLineChars="200"/>
      <w:jc w:val="left"/>
    </w:pPr>
    <w:rPr>
      <w:rFonts w:ascii="宋体" w:hAnsi="宋体"/>
      <w:color w:val="FF0000"/>
      <w:sz w:val="24"/>
      <w:szCs w:val="20"/>
    </w:rPr>
  </w:style>
  <w:style w:type="paragraph" w:styleId="3">
    <w:name w:val="Normal Indent"/>
    <w:basedOn w:val="1"/>
    <w:autoRedefine/>
    <w:qFormat/>
    <w:uiPriority w:val="0"/>
    <w:pPr>
      <w:ind w:firstLine="420" w:firstLineChars="2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p17"/>
    <w:basedOn w:val="1"/>
    <w:autoRedefine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1182</Characters>
  <Lines>0</Lines>
  <Paragraphs>0</Paragraphs>
  <TotalTime>12</TotalTime>
  <ScaleCrop>false</ScaleCrop>
  <LinksUpToDate>false</LinksUpToDate>
  <CharactersWithSpaces>1185</CharactersWithSpaces>
  <Application>WPS Office_12.8.2.16730_F1E327BC-269C-435d-A152-05C5408002CA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2023-11-03T06:33:00Z</dcterms:created>
  <dc:creator>一小蝶儿豆腐</dc:creator>
  <cp:lastModifiedBy>义薄云天</cp:lastModifiedBy>
  <dcterms:modified xsi:type="dcterms:W3CDTF">2025-09-08T03:23:34Z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2052-12.8.2.16730</vt:lpwstr>
  </property>
  <property fmtid="{D5CDD505-2E9C-101B-9397-08002B2CF9AE}" pid="3" name="ICV">
    <vt:lpwstr>F9B8E6ADBA6B4AAC89C64C05223F4FF5_13</vt:lpwstr>
  </property>
  <property fmtid="{D5CDD505-2E9C-101B-9397-08002B2CF9AE}" pid="4" name="KSOTemplateDocerSaveRecord">
    <vt:lpwstr>eyJoZGlkIjoiZGQ2NTEwODM1YzVjODlmNmYwNDllNTExZGVkNTA5ZDkiLCJ1c2VySWQiOiIxNjIxOTgwNzI5In0=</vt:lpwstr>
  </property>
</Properties>
</file>