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北京市大兴区生态环境局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年度行政执法统计年报</w:t>
      </w:r>
    </w:p>
    <w:p>
      <w:pPr>
        <w:pStyle w:val="2"/>
        <w:rPr>
          <w:rFonts w:hint="eastAsia"/>
        </w:rPr>
      </w:pPr>
    </w:p>
    <w:p>
      <w:pPr>
        <w:keepNext w:val="0"/>
        <w:keepLines w:val="0"/>
        <w:pageBreakBefore w:val="0"/>
        <w:widowControl w:val="0"/>
        <w:numPr>
          <w:ilvl w:val="0"/>
          <w:numId w:val="1"/>
        </w:numPr>
        <w:suppressLineNumbers w:val="0"/>
        <w:kinsoku/>
        <w:wordWrap/>
        <w:overflowPunct/>
        <w:topLinePunct w:val="0"/>
        <w:autoSpaceDE/>
        <w:autoSpaceDN/>
        <w:bidi w:val="0"/>
        <w:spacing w:beforeAutospacing="0" w:afterAutospacing="0" w:line="560" w:lineRule="exact"/>
        <w:ind w:right="0" w:rightChars="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行政执法机关的执法主体名称和数量情况</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rPr>
      </w:pPr>
      <w:r>
        <w:rPr>
          <w:rFonts w:hint="eastAsia" w:ascii="仿宋_GB2312" w:eastAsia="仿宋_GB2312"/>
          <w:sz w:val="32"/>
          <w:szCs w:val="32"/>
          <w:highlight w:val="none"/>
        </w:rPr>
        <w:t>执法主体为北京市</w:t>
      </w:r>
      <w:r>
        <w:rPr>
          <w:rFonts w:hint="eastAsia" w:ascii="仿宋_GB2312" w:eastAsia="仿宋_GB2312"/>
          <w:sz w:val="32"/>
          <w:szCs w:val="32"/>
          <w:highlight w:val="none"/>
          <w:lang w:eastAsia="zh-CN"/>
        </w:rPr>
        <w:t>大兴区</w:t>
      </w:r>
      <w:r>
        <w:rPr>
          <w:rFonts w:hint="eastAsia" w:ascii="仿宋_GB2312" w:eastAsia="仿宋_GB2312"/>
          <w:sz w:val="32"/>
          <w:szCs w:val="32"/>
          <w:highlight w:val="none"/>
        </w:rPr>
        <w:t>生态环境局。</w:t>
      </w:r>
    </w:p>
    <w:p>
      <w:pPr>
        <w:keepNext w:val="0"/>
        <w:keepLines w:val="0"/>
        <w:pageBreakBefore w:val="0"/>
        <w:widowControl w:val="0"/>
        <w:numPr>
          <w:ilvl w:val="0"/>
          <w:numId w:val="1"/>
        </w:numPr>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各执法主体的执法岗位设置及执法人员在岗情况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rPr>
      </w:pPr>
      <w:r>
        <w:rPr>
          <w:rFonts w:hint="eastAsia" w:ascii="仿宋_GB2312" w:eastAsia="仿宋_GB2312"/>
          <w:sz w:val="32"/>
          <w:szCs w:val="32"/>
          <w:highlight w:val="none"/>
        </w:rPr>
        <w:t>共设置</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个执法岗，</w:t>
      </w:r>
      <w:r>
        <w:rPr>
          <w:rFonts w:hint="eastAsia" w:ascii="仿宋_GB2312" w:eastAsia="仿宋_GB2312"/>
          <w:sz w:val="32"/>
          <w:szCs w:val="32"/>
          <w:highlight w:val="none"/>
          <w:lang w:eastAsia="zh-CN"/>
        </w:rPr>
        <w:t>其中</w:t>
      </w:r>
      <w:r>
        <w:rPr>
          <w:rFonts w:hint="eastAsia" w:ascii="仿宋_GB2312" w:eastAsia="仿宋_GB2312"/>
          <w:sz w:val="32"/>
          <w:szCs w:val="32"/>
          <w:highlight w:val="none"/>
        </w:rPr>
        <w:t>A岗：</w:t>
      </w:r>
      <w:r>
        <w:rPr>
          <w:rFonts w:hint="eastAsia" w:ascii="仿宋_GB2312" w:eastAsia="仿宋_GB2312"/>
          <w:sz w:val="32"/>
          <w:szCs w:val="32"/>
          <w:highlight w:val="none"/>
          <w:lang w:eastAsia="zh-CN"/>
        </w:rPr>
        <w:t>区</w:t>
      </w:r>
      <w:r>
        <w:rPr>
          <w:rFonts w:hint="eastAsia" w:ascii="仿宋_GB2312" w:eastAsia="仿宋_GB2312"/>
          <w:sz w:val="32"/>
          <w:szCs w:val="32"/>
          <w:highlight w:val="none"/>
        </w:rPr>
        <w:t>级</w:t>
      </w:r>
      <w:r>
        <w:rPr>
          <w:rFonts w:hint="eastAsia" w:ascii="仿宋_GB2312" w:eastAsia="仿宋_GB2312"/>
          <w:sz w:val="32"/>
          <w:szCs w:val="32"/>
          <w:highlight w:val="none"/>
          <w:lang w:eastAsia="zh-CN"/>
        </w:rPr>
        <w:t>生态</w:t>
      </w:r>
      <w:r>
        <w:rPr>
          <w:rFonts w:hint="eastAsia" w:ascii="仿宋_GB2312" w:eastAsia="仿宋_GB2312"/>
          <w:sz w:val="32"/>
          <w:szCs w:val="32"/>
          <w:highlight w:val="none"/>
        </w:rPr>
        <w:t>环境</w:t>
      </w:r>
      <w:r>
        <w:rPr>
          <w:rFonts w:hint="eastAsia" w:ascii="仿宋_GB2312" w:eastAsia="仿宋_GB2312"/>
          <w:sz w:val="32"/>
          <w:szCs w:val="32"/>
          <w:highlight w:val="none"/>
          <w:lang w:eastAsia="zh-CN"/>
        </w:rPr>
        <w:t>执法决定</w:t>
      </w:r>
      <w:r>
        <w:rPr>
          <w:rFonts w:hint="eastAsia" w:ascii="仿宋_GB2312" w:eastAsia="仿宋_GB2312"/>
          <w:sz w:val="32"/>
          <w:szCs w:val="32"/>
          <w:highlight w:val="none"/>
        </w:rPr>
        <w:t>岗</w:t>
      </w:r>
      <w:r>
        <w:rPr>
          <w:rFonts w:hint="eastAsia" w:ascii="仿宋_GB2312" w:eastAsia="仿宋_GB2312"/>
          <w:sz w:val="32"/>
          <w:szCs w:val="32"/>
          <w:highlight w:val="none"/>
          <w:lang w:val="en-US" w:eastAsia="zh-CN"/>
        </w:rPr>
        <w:t>2人</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区</w:t>
      </w:r>
      <w:r>
        <w:rPr>
          <w:rFonts w:hint="eastAsia" w:ascii="仿宋_GB2312" w:eastAsia="仿宋_GB2312"/>
          <w:sz w:val="32"/>
          <w:szCs w:val="32"/>
          <w:highlight w:val="none"/>
        </w:rPr>
        <w:t>级</w:t>
      </w:r>
      <w:r>
        <w:rPr>
          <w:rFonts w:hint="eastAsia" w:ascii="仿宋_GB2312" w:eastAsia="仿宋_GB2312"/>
          <w:sz w:val="32"/>
          <w:szCs w:val="32"/>
          <w:highlight w:val="none"/>
          <w:lang w:eastAsia="zh-CN"/>
        </w:rPr>
        <w:t>生态</w:t>
      </w:r>
      <w:r>
        <w:rPr>
          <w:rFonts w:hint="eastAsia" w:ascii="仿宋_GB2312" w:eastAsia="仿宋_GB2312"/>
          <w:sz w:val="32"/>
          <w:szCs w:val="32"/>
          <w:highlight w:val="none"/>
        </w:rPr>
        <w:t>环境执法</w:t>
      </w:r>
      <w:r>
        <w:rPr>
          <w:rFonts w:hint="eastAsia" w:ascii="仿宋_GB2312" w:eastAsia="仿宋_GB2312"/>
          <w:sz w:val="32"/>
          <w:szCs w:val="32"/>
          <w:highlight w:val="none"/>
          <w:lang w:eastAsia="zh-CN"/>
        </w:rPr>
        <w:t>承办</w:t>
      </w:r>
      <w:r>
        <w:rPr>
          <w:rFonts w:hint="eastAsia" w:ascii="仿宋_GB2312" w:eastAsia="仿宋_GB2312"/>
          <w:sz w:val="32"/>
          <w:szCs w:val="32"/>
          <w:highlight w:val="none"/>
        </w:rPr>
        <w:t>岗</w:t>
      </w:r>
      <w:r>
        <w:rPr>
          <w:rFonts w:hint="eastAsia" w:ascii="仿宋_GB2312" w:eastAsia="仿宋_GB2312"/>
          <w:sz w:val="32"/>
          <w:szCs w:val="32"/>
          <w:highlight w:val="none"/>
          <w:lang w:val="en-US" w:eastAsia="zh-CN"/>
        </w:rPr>
        <w:t>73人</w:t>
      </w:r>
      <w:r>
        <w:rPr>
          <w:rFonts w:hint="eastAsia" w:ascii="仿宋_GB2312" w:eastAsia="仿宋_GB2312"/>
          <w:sz w:val="32"/>
          <w:szCs w:val="32"/>
          <w:highlight w:val="none"/>
        </w:rPr>
        <w:t>；B岗：</w:t>
      </w:r>
      <w:r>
        <w:rPr>
          <w:rFonts w:hint="eastAsia" w:ascii="仿宋_GB2312" w:eastAsia="仿宋_GB2312"/>
          <w:sz w:val="32"/>
          <w:szCs w:val="32"/>
          <w:highlight w:val="none"/>
          <w:lang w:eastAsia="zh-CN"/>
        </w:rPr>
        <w:t>区级生态环境领域职权事项承办岗</w:t>
      </w:r>
      <w:r>
        <w:rPr>
          <w:rFonts w:hint="eastAsia" w:ascii="仿宋_GB2312" w:eastAsia="仿宋_GB2312"/>
          <w:sz w:val="32"/>
          <w:szCs w:val="32"/>
          <w:highlight w:val="none"/>
          <w:lang w:val="en-US" w:eastAsia="zh-CN"/>
        </w:rPr>
        <w:t>12人</w:t>
      </w:r>
      <w:r>
        <w:rPr>
          <w:rFonts w:hint="eastAsia" w:ascii="仿宋_GB2312" w:eastAsia="仿宋_GB2312"/>
          <w:sz w:val="32"/>
          <w:szCs w:val="32"/>
          <w:highlight w:val="none"/>
          <w:lang w:eastAsia="zh-CN"/>
        </w:rPr>
        <w:t>、区级生态环境领域职权事项决定岗</w:t>
      </w:r>
      <w:r>
        <w:rPr>
          <w:rFonts w:hint="eastAsia" w:ascii="仿宋_GB2312" w:eastAsia="仿宋_GB2312"/>
          <w:sz w:val="32"/>
          <w:szCs w:val="32"/>
          <w:highlight w:val="none"/>
          <w:lang w:val="en-US" w:eastAsia="zh-CN"/>
        </w:rPr>
        <w:t>1人</w:t>
      </w:r>
      <w:r>
        <w:rPr>
          <w:rFonts w:hint="eastAsia" w:ascii="仿宋_GB2312" w:eastAsia="仿宋_GB2312"/>
          <w:sz w:val="32"/>
          <w:szCs w:val="32"/>
          <w:highlight w:val="none"/>
        </w:rPr>
        <w:t>。执法人员全员在岗。</w:t>
      </w:r>
    </w:p>
    <w:p>
      <w:pPr>
        <w:keepNext w:val="0"/>
        <w:keepLines w:val="0"/>
        <w:pageBreakBefore w:val="0"/>
        <w:widowControl w:val="0"/>
        <w:numPr>
          <w:ilvl w:val="0"/>
          <w:numId w:val="1"/>
        </w:numPr>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执法力量投入情况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rPr>
      </w:pPr>
      <w:r>
        <w:rPr>
          <w:rFonts w:hint="eastAsia" w:ascii="仿宋_GB2312" w:eastAsia="仿宋_GB2312"/>
          <w:sz w:val="32"/>
          <w:szCs w:val="32"/>
          <w:highlight w:val="none"/>
        </w:rPr>
        <w:t>执法人员在岗</w:t>
      </w:r>
      <w:r>
        <w:rPr>
          <w:rFonts w:hint="eastAsia" w:ascii="仿宋_GB2312" w:eastAsia="仿宋_GB2312"/>
          <w:sz w:val="32"/>
          <w:szCs w:val="32"/>
          <w:highlight w:val="none"/>
          <w:lang w:val="en-US" w:eastAsia="zh-CN"/>
        </w:rPr>
        <w:t>88</w:t>
      </w:r>
      <w:r>
        <w:rPr>
          <w:rFonts w:hint="eastAsia" w:ascii="仿宋_GB2312" w:eastAsia="仿宋_GB2312"/>
          <w:sz w:val="32"/>
          <w:szCs w:val="32"/>
          <w:highlight w:val="none"/>
        </w:rPr>
        <w:t>人</w:t>
      </w:r>
      <w:r>
        <w:rPr>
          <w:rFonts w:hint="eastAsia" w:ascii="仿宋_GB2312" w:eastAsia="仿宋_GB2312"/>
          <w:sz w:val="32"/>
          <w:szCs w:val="32"/>
          <w:highlight w:val="none"/>
          <w:lang w:eastAsia="zh-CN"/>
        </w:rPr>
        <w:t>并全部</w:t>
      </w:r>
      <w:r>
        <w:rPr>
          <w:rFonts w:hint="eastAsia" w:ascii="仿宋_GB2312" w:eastAsia="仿宋_GB2312"/>
          <w:sz w:val="32"/>
          <w:szCs w:val="32"/>
          <w:highlight w:val="none"/>
        </w:rPr>
        <w:t>取得执法资格证</w:t>
      </w:r>
      <w:r>
        <w:rPr>
          <w:rFonts w:hint="eastAsia" w:ascii="仿宋_GB2312" w:eastAsia="仿宋_GB2312"/>
          <w:sz w:val="32"/>
          <w:szCs w:val="32"/>
          <w:highlight w:val="none"/>
          <w:lang w:eastAsia="zh-CN"/>
        </w:rPr>
        <w:t>件</w:t>
      </w:r>
      <w:r>
        <w:rPr>
          <w:rFonts w:hint="eastAsia" w:ascii="仿宋_GB2312" w:eastAsia="仿宋_GB2312"/>
          <w:sz w:val="32"/>
          <w:szCs w:val="32"/>
          <w:highlight w:val="none"/>
        </w:rPr>
        <w:t>，执法力量占100%。</w:t>
      </w:r>
    </w:p>
    <w:p>
      <w:pPr>
        <w:keepNext w:val="0"/>
        <w:keepLines w:val="0"/>
        <w:pageBreakBefore w:val="0"/>
        <w:widowControl w:val="0"/>
        <w:numPr>
          <w:ilvl w:val="0"/>
          <w:numId w:val="1"/>
        </w:numPr>
        <w:suppressLineNumbers w:val="0"/>
        <w:kinsoku/>
        <w:wordWrap/>
        <w:overflowPunct/>
        <w:topLinePunct w:val="0"/>
        <w:autoSpaceDE/>
        <w:autoSpaceDN/>
        <w:bidi w:val="0"/>
        <w:spacing w:beforeAutospacing="0" w:afterAutospacing="0" w:line="560" w:lineRule="exact"/>
        <w:ind w:left="0" w:leftChars="0" w:right="0" w:rightChars="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政务服务事项的办理情况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2" w:lineRule="exact"/>
        <w:ind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共办理政务服务事项8256件，其中行政许可344件，其他行政权力7821件，行政确认87件，公共服务4件。</w:t>
      </w:r>
    </w:p>
    <w:p>
      <w:pPr>
        <w:keepNext w:val="0"/>
        <w:keepLines w:val="0"/>
        <w:pageBreakBefore w:val="0"/>
        <w:widowControl w:val="0"/>
        <w:kinsoku/>
        <w:wordWrap/>
        <w:overflowPunct/>
        <w:topLinePunct w:val="0"/>
        <w:autoSpaceDE/>
        <w:autoSpaceDN/>
        <w:bidi w:val="0"/>
        <w:adjustRightInd w:val="0"/>
        <w:snapToGrid w:val="0"/>
        <w:spacing w:line="552" w:lineRule="exact"/>
        <w:ind w:right="0" w:rightChars="0" w:firstLine="640" w:firstLineChars="200"/>
        <w:jc w:val="both"/>
        <w:textAlignment w:val="auto"/>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五、执法检查计划执行情况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2" w:lineRule="exact"/>
        <w:ind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2024年，区生态环境局牢固树立绿色发展理念，以提高老百姓环境获得感为宗旨，以改善环境质量为核心，铁腕治污，严厉打击环境违法行为，切实维护辖区群众环境权益。全年共出动执法人员36852人次，检查各类污染源17544家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2" w:lineRule="exact"/>
        <w:ind w:right="0" w:rightChars="0" w:firstLine="640" w:firstLineChars="200"/>
        <w:textAlignment w:val="auto"/>
        <w:rPr>
          <w:rStyle w:val="12"/>
          <w:rFonts w:hint="eastAsia" w:ascii="楷体_GB2312" w:hAnsi="楷体_GB2312" w:eastAsia="楷体_GB2312" w:cs="楷体_GB2312"/>
          <w:color w:val="auto"/>
          <w:sz w:val="32"/>
          <w:szCs w:val="32"/>
          <w:highlight w:val="none"/>
          <w:lang w:val="en-US" w:eastAsia="zh-CN"/>
        </w:rPr>
      </w:pPr>
      <w:r>
        <w:rPr>
          <w:rStyle w:val="12"/>
          <w:rFonts w:hint="eastAsia" w:ascii="楷体_GB2312" w:hAnsi="楷体_GB2312" w:eastAsia="楷体_GB2312" w:cs="楷体_GB2312"/>
          <w:color w:val="auto"/>
          <w:sz w:val="32"/>
          <w:szCs w:val="32"/>
          <w:highlight w:val="none"/>
          <w:lang w:val="en-US" w:eastAsia="zh-CN"/>
        </w:rPr>
        <w:t>（一）深入打好蓝天保卫战</w:t>
      </w:r>
    </w:p>
    <w:p>
      <w:pPr>
        <w:keepNext w:val="0"/>
        <w:keepLines w:val="0"/>
        <w:pageBreakBefore w:val="0"/>
        <w:widowControl w:val="0"/>
        <w:kinsoku/>
        <w:wordWrap/>
        <w:overflowPunct/>
        <w:topLinePunct w:val="0"/>
        <w:autoSpaceDE/>
        <w:autoSpaceDN/>
        <w:bidi w:val="0"/>
        <w:snapToGrid w:val="0"/>
        <w:spacing w:line="552" w:lineRule="exact"/>
        <w:ind w:firstLine="640" w:firstLineChars="200"/>
        <w:textAlignment w:val="auto"/>
        <w:rPr>
          <w:rFonts w:hint="eastAsia" w:ascii="仿宋_GB2312" w:hAnsi="仿宋_GB2312" w:eastAsia="仿宋_GB2312" w:cs="仿宋_GB2312"/>
          <w:sz w:val="32"/>
          <w:szCs w:val="32"/>
          <w:highlight w:val="none"/>
          <w:lang w:val="en-US" w:eastAsia="zh-CN"/>
        </w:rPr>
      </w:pPr>
      <w:r>
        <w:rPr>
          <w:rStyle w:val="12"/>
          <w:rFonts w:ascii="仿宋_GB2312" w:eastAsia="仿宋_GB2312"/>
          <w:color w:val="auto"/>
          <w:sz w:val="32"/>
          <w:szCs w:val="32"/>
        </w:rPr>
        <w:t>一是按市局统一部署，细化任务台账。二是通过加强日常执法、热点网格排查、联合检查、专项检查等，动态监控重点产业园区、企业集群及重点企业生产和排放情况，及时发现问题并督促整改，2024年出动380人次，检查石化、印刷、家具等涉VOCs工业企业179家次；出动1458人次，检查汽修行业647家次；出动69人次，完成全年ODS企业检查34家；出动579人次，完成锅炉使用企业检查263家次。</w:t>
      </w:r>
      <w:r>
        <w:rPr>
          <w:rStyle w:val="12"/>
          <w:rFonts w:hint="eastAsia" w:ascii="仿宋_GB2312" w:eastAsia="仿宋_GB2312"/>
          <w:color w:val="auto"/>
          <w:sz w:val="32"/>
          <w:szCs w:val="32"/>
          <w:lang w:eastAsia="zh-CN"/>
        </w:rPr>
        <w:t>三是加强移动源执法监管。</w:t>
      </w:r>
      <w:r>
        <w:rPr>
          <w:rStyle w:val="12"/>
          <w:rFonts w:hint="default" w:ascii="仿宋_GB2312" w:eastAsia="仿宋_GB2312"/>
          <w:color w:val="auto"/>
          <w:sz w:val="32"/>
          <w:szCs w:val="32"/>
        </w:rPr>
        <w:t>按照“环保检测、公安处罚”模式，在进京路口和市内重点道路对上路行驶车辆开展</w:t>
      </w:r>
      <w:r>
        <w:rPr>
          <w:rStyle w:val="12"/>
          <w:rFonts w:hint="eastAsia" w:ascii="仿宋_GB2312" w:eastAsia="仿宋_GB2312"/>
          <w:color w:val="auto"/>
          <w:sz w:val="32"/>
          <w:szCs w:val="32"/>
          <w:lang w:eastAsia="zh-CN"/>
        </w:rPr>
        <w:t>人工</w:t>
      </w:r>
      <w:r>
        <w:rPr>
          <w:rStyle w:val="12"/>
          <w:rFonts w:hint="default" w:ascii="仿宋_GB2312" w:eastAsia="仿宋_GB2312"/>
          <w:color w:val="auto"/>
          <w:sz w:val="32"/>
          <w:szCs w:val="32"/>
        </w:rPr>
        <w:t>执法检查</w:t>
      </w:r>
      <w:r>
        <w:rPr>
          <w:rStyle w:val="12"/>
          <w:rFonts w:hint="eastAsia" w:ascii="仿宋_GB2312" w:eastAsia="仿宋_GB2312"/>
          <w:color w:val="auto"/>
          <w:sz w:val="32"/>
          <w:szCs w:val="32"/>
          <w:lang w:eastAsia="zh-CN"/>
        </w:rPr>
        <w:t>，突出夜间时段</w:t>
      </w:r>
      <w:r>
        <w:rPr>
          <w:rStyle w:val="12"/>
          <w:rFonts w:hint="default" w:ascii="仿宋_GB2312" w:eastAsia="仿宋_GB2312"/>
          <w:color w:val="auto"/>
          <w:sz w:val="32"/>
          <w:szCs w:val="32"/>
        </w:rPr>
        <w:t>执法检查</w:t>
      </w:r>
      <w:r>
        <w:rPr>
          <w:rStyle w:val="12"/>
          <w:rFonts w:hint="eastAsia" w:ascii="仿宋_GB2312" w:eastAsia="仿宋_GB2312"/>
          <w:color w:val="auto"/>
          <w:sz w:val="32"/>
          <w:szCs w:val="32"/>
          <w:lang w:eastAsia="zh-CN"/>
        </w:rPr>
        <w:t>，重点查处排放超标未及时复检车辆，</w:t>
      </w:r>
      <w:r>
        <w:rPr>
          <w:rStyle w:val="12"/>
          <w:rFonts w:hint="eastAsia" w:ascii="仿宋_GB2312" w:eastAsia="仿宋_GB2312"/>
          <w:color w:val="auto"/>
          <w:sz w:val="32"/>
          <w:szCs w:val="32"/>
          <w:lang w:val="en-US" w:eastAsia="zh-CN"/>
        </w:rPr>
        <w:t>共检查重型车254569辆次</w:t>
      </w:r>
      <w:r>
        <w:rPr>
          <w:rStyle w:val="12"/>
          <w:rFonts w:hint="eastAsia" w:ascii="仿宋_GB2312" w:eastAsia="仿宋_GB2312"/>
          <w:color w:val="auto"/>
          <w:sz w:val="32"/>
          <w:szCs w:val="32"/>
          <w:lang w:eastAsia="zh-CN"/>
        </w:rPr>
        <w:t>；根据</w:t>
      </w:r>
      <w:r>
        <w:rPr>
          <w:rStyle w:val="12"/>
          <w:rFonts w:hint="default" w:ascii="仿宋_GB2312" w:eastAsia="仿宋_GB2312"/>
          <w:color w:val="auto"/>
          <w:sz w:val="32"/>
          <w:szCs w:val="32"/>
        </w:rPr>
        <w:t>重型车用车大户、经营性汽油车</w:t>
      </w:r>
      <w:r>
        <w:rPr>
          <w:rStyle w:val="12"/>
          <w:rFonts w:hint="eastAsia" w:ascii="仿宋_GB2312" w:eastAsia="仿宋_GB2312"/>
          <w:color w:val="auto"/>
          <w:sz w:val="32"/>
          <w:szCs w:val="32"/>
          <w:lang w:eastAsia="zh-CN"/>
        </w:rPr>
        <w:t>大户等重点车辆</w:t>
      </w:r>
      <w:r>
        <w:rPr>
          <w:rStyle w:val="12"/>
          <w:rFonts w:hint="default" w:ascii="仿宋_GB2312" w:eastAsia="仿宋_GB2312"/>
          <w:color w:val="auto"/>
          <w:sz w:val="32"/>
          <w:szCs w:val="32"/>
        </w:rPr>
        <w:t>台账</w:t>
      </w:r>
      <w:r>
        <w:rPr>
          <w:rStyle w:val="12"/>
          <w:rFonts w:hint="eastAsia" w:ascii="仿宋_GB2312" w:eastAsia="仿宋_GB2312"/>
          <w:color w:val="auto"/>
          <w:sz w:val="32"/>
          <w:szCs w:val="32"/>
          <w:lang w:eastAsia="zh-CN"/>
        </w:rPr>
        <w:t>，开展精准入户执法，</w:t>
      </w:r>
      <w:r>
        <w:rPr>
          <w:rStyle w:val="12"/>
          <w:rFonts w:hint="eastAsia" w:ascii="仿宋_GB2312" w:eastAsia="仿宋_GB2312"/>
          <w:color w:val="auto"/>
          <w:sz w:val="32"/>
          <w:szCs w:val="32"/>
          <w:lang w:val="en-US" w:eastAsia="zh-CN"/>
        </w:rPr>
        <w:t>处罚重型车1263辆次</w:t>
      </w:r>
      <w:r>
        <w:rPr>
          <w:rStyle w:val="12"/>
          <w:rFonts w:hint="eastAsia" w:ascii="仿宋_GB2312" w:eastAsia="仿宋_GB2312"/>
          <w:color w:val="auto"/>
          <w:sz w:val="32"/>
          <w:szCs w:val="32"/>
          <w:lang w:eastAsia="zh-CN"/>
        </w:rPr>
        <w:t>；以</w:t>
      </w:r>
      <w:r>
        <w:rPr>
          <w:rStyle w:val="12"/>
          <w:rFonts w:hint="default" w:ascii="仿宋_GB2312" w:eastAsia="仿宋_GB2312"/>
          <w:color w:val="auto"/>
          <w:sz w:val="32"/>
          <w:szCs w:val="32"/>
        </w:rPr>
        <w:t>企业</w:t>
      </w:r>
      <w:r>
        <w:rPr>
          <w:rStyle w:val="12"/>
          <w:rFonts w:hint="eastAsia" w:ascii="仿宋_GB2312" w:eastAsia="仿宋_GB2312"/>
          <w:color w:val="auto"/>
          <w:sz w:val="32"/>
          <w:szCs w:val="32"/>
          <w:lang w:eastAsia="zh-CN"/>
        </w:rPr>
        <w:t>、物流园、机场等为</w:t>
      </w:r>
      <w:r>
        <w:rPr>
          <w:rStyle w:val="12"/>
          <w:rFonts w:hint="eastAsia" w:ascii="仿宋_GB2312" w:eastAsia="仿宋_GB2312"/>
          <w:color w:val="auto"/>
          <w:sz w:val="32"/>
          <w:szCs w:val="32"/>
          <w:highlight w:val="none"/>
          <w:lang w:eastAsia="zh-CN"/>
        </w:rPr>
        <w:t>重点开展非道路移动机械执法检查</w:t>
      </w:r>
      <w:r>
        <w:rPr>
          <w:rFonts w:hint="eastAsia" w:ascii="仿宋_GB2312" w:eastAsia="仿宋_GB2312"/>
          <w:sz w:val="32"/>
          <w:szCs w:val="32"/>
          <w:highlight w:val="none"/>
          <w:lang w:val="en-US" w:eastAsia="zh-CN"/>
        </w:rPr>
        <w:t>1706台次，监测1504台次</w:t>
      </w:r>
      <w:r>
        <w:rPr>
          <w:rStyle w:val="12"/>
          <w:rFonts w:hint="eastAsia" w:ascii="仿宋_GB2312" w:eastAsia="仿宋_GB2312"/>
          <w:color w:val="auto"/>
          <w:sz w:val="32"/>
          <w:szCs w:val="32"/>
          <w:highlight w:val="none"/>
          <w:lang w:eastAsia="zh-CN"/>
        </w:rPr>
        <w:t>；依据分级分类执法对辖区加油站、储油库开展执法检查；</w:t>
      </w:r>
      <w:r>
        <w:rPr>
          <w:rFonts w:hint="eastAsia" w:ascii="仿宋_GB2312" w:hAnsi="仿宋_GB2312" w:eastAsia="仿宋_GB2312" w:cs="仿宋_GB2312"/>
          <w:sz w:val="32"/>
          <w:szCs w:val="32"/>
          <w:highlight w:val="none"/>
          <w:lang w:val="en-US" w:eastAsia="zh-CN"/>
        </w:rPr>
        <w:t>依托机动车定期排放检验监管系统，对4家机动车检测机构开展执法检查。</w:t>
      </w:r>
    </w:p>
    <w:p>
      <w:pPr>
        <w:keepNext w:val="0"/>
        <w:keepLines w:val="0"/>
        <w:pageBreakBefore w:val="0"/>
        <w:widowControl w:val="0"/>
        <w:kinsoku/>
        <w:wordWrap/>
        <w:overflowPunct/>
        <w:topLinePunct w:val="0"/>
        <w:autoSpaceDE/>
        <w:autoSpaceDN/>
        <w:bidi w:val="0"/>
        <w:snapToGrid w:val="0"/>
        <w:spacing w:line="552" w:lineRule="exact"/>
        <w:ind w:firstLine="640"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bidi="ar-SA"/>
        </w:rPr>
        <w:t>（二）</w:t>
      </w:r>
      <w:r>
        <w:rPr>
          <w:rFonts w:hint="eastAsia" w:ascii="楷体_GB2312" w:hAnsi="楷体_GB2312" w:eastAsia="楷体_GB2312" w:cs="楷体_GB2312"/>
          <w:sz w:val="32"/>
          <w:szCs w:val="32"/>
          <w:highlight w:val="none"/>
        </w:rPr>
        <w:t>深入打好碧水保卫战</w:t>
      </w:r>
    </w:p>
    <w:p>
      <w:pPr>
        <w:keepNext w:val="0"/>
        <w:keepLines w:val="0"/>
        <w:pageBreakBefore w:val="0"/>
        <w:widowControl w:val="0"/>
        <w:kinsoku/>
        <w:wordWrap/>
        <w:overflowPunct/>
        <w:topLinePunct w:val="0"/>
        <w:autoSpaceDE/>
        <w:autoSpaceDN/>
        <w:bidi w:val="0"/>
        <w:snapToGrid w:val="0"/>
        <w:spacing w:line="552" w:lineRule="exact"/>
        <w:ind w:firstLine="640" w:firstLineChars="200"/>
        <w:textAlignment w:val="auto"/>
        <w:rPr>
          <w:rStyle w:val="12"/>
          <w:rFonts w:hint="eastAsia" w:ascii="仿宋_GB2312" w:eastAsia="仿宋_GB2312"/>
          <w:color w:val="auto"/>
          <w:sz w:val="32"/>
          <w:szCs w:val="32"/>
        </w:rPr>
      </w:pPr>
      <w:r>
        <w:rPr>
          <w:rStyle w:val="12"/>
          <w:rFonts w:hint="eastAsia" w:ascii="仿宋_GB2312" w:eastAsia="仿宋_GB2312"/>
          <w:color w:val="auto"/>
          <w:sz w:val="32"/>
          <w:szCs w:val="32"/>
        </w:rPr>
        <w:t>大兴区水污染防治2024年行动计划涉生态环境执法分项规范完成，大兴区生态环境综合执法重点工作及上级单位下发的涉水执法任务规范完成。强化2024年水环境重点监管单位及城镇（工业园区）污水处理厂的监管，通过明确检查清单、监测事项要求方式，推进任务规范化检查及录入，</w:t>
      </w:r>
      <w:r>
        <w:rPr>
          <w:rStyle w:val="12"/>
          <w:rFonts w:hint="eastAsia" w:ascii="仿宋_GB2312" w:eastAsia="仿宋_GB2312"/>
          <w:color w:val="auto"/>
          <w:sz w:val="32"/>
          <w:szCs w:val="32"/>
          <w:lang w:eastAsia="zh-CN"/>
        </w:rPr>
        <w:t>共出动执法人员</w:t>
      </w:r>
      <w:r>
        <w:rPr>
          <w:rStyle w:val="12"/>
          <w:rFonts w:hint="eastAsia" w:ascii="仿宋_GB2312" w:eastAsia="仿宋_GB2312"/>
          <w:color w:val="auto"/>
          <w:sz w:val="32"/>
          <w:szCs w:val="32"/>
          <w:lang w:val="en-US" w:eastAsia="zh-CN"/>
        </w:rPr>
        <w:t>81人次，检查39家次</w:t>
      </w:r>
      <w:r>
        <w:rPr>
          <w:rStyle w:val="12"/>
          <w:rFonts w:hint="eastAsia" w:ascii="仿宋_GB2312" w:eastAsia="仿宋_GB2312"/>
          <w:color w:val="auto"/>
          <w:sz w:val="32"/>
          <w:szCs w:val="32"/>
        </w:rPr>
        <w:t>；</w:t>
      </w:r>
      <w:r>
        <w:rPr>
          <w:rStyle w:val="12"/>
          <w:rFonts w:hint="eastAsia" w:ascii="仿宋_GB2312" w:eastAsia="仿宋_GB2312"/>
          <w:color w:val="auto"/>
          <w:sz w:val="32"/>
          <w:szCs w:val="32"/>
          <w:lang w:eastAsia="zh-CN"/>
        </w:rPr>
        <w:t>强化</w:t>
      </w:r>
      <w:r>
        <w:rPr>
          <w:rStyle w:val="12"/>
          <w:rFonts w:hint="eastAsia" w:ascii="仿宋_GB2312" w:eastAsia="仿宋_GB2312"/>
          <w:color w:val="auto"/>
          <w:sz w:val="32"/>
          <w:szCs w:val="32"/>
        </w:rPr>
        <w:t>农村生活污水处理设施专项执法检查</w:t>
      </w:r>
      <w:r>
        <w:rPr>
          <w:rStyle w:val="12"/>
          <w:rFonts w:hint="eastAsia" w:ascii="仿宋_GB2312" w:eastAsia="仿宋_GB2312"/>
          <w:color w:val="auto"/>
          <w:sz w:val="32"/>
          <w:szCs w:val="32"/>
          <w:lang w:eastAsia="zh-CN"/>
        </w:rPr>
        <w:t>，结</w:t>
      </w:r>
      <w:r>
        <w:rPr>
          <w:rStyle w:val="12"/>
          <w:rFonts w:hint="eastAsia" w:ascii="仿宋_GB2312" w:eastAsia="仿宋_GB2312"/>
          <w:color w:val="auto"/>
          <w:sz w:val="32"/>
          <w:szCs w:val="32"/>
          <w:lang w:val="en-US" w:eastAsia="zh-CN"/>
        </w:rPr>
        <w:t>合2023年度执法监测情况，对设计日处理规模20吨（含）及以上的</w:t>
      </w:r>
      <w:r>
        <w:rPr>
          <w:rStyle w:val="12"/>
          <w:rFonts w:hint="eastAsia" w:ascii="仿宋_GB2312" w:eastAsia="仿宋_GB2312"/>
          <w:color w:val="auto"/>
          <w:sz w:val="32"/>
          <w:szCs w:val="32"/>
        </w:rPr>
        <w:t>农村生活污水处理设施</w:t>
      </w:r>
      <w:r>
        <w:rPr>
          <w:rStyle w:val="12"/>
          <w:rFonts w:hint="eastAsia" w:ascii="仿宋_GB2312" w:eastAsia="仿宋_GB2312"/>
          <w:color w:val="auto"/>
          <w:sz w:val="32"/>
          <w:szCs w:val="32"/>
          <w:lang w:eastAsia="zh-CN"/>
        </w:rPr>
        <w:t>实现</w:t>
      </w:r>
      <w:r>
        <w:rPr>
          <w:rStyle w:val="12"/>
          <w:rFonts w:hint="eastAsia" w:ascii="仿宋_GB2312" w:eastAsia="仿宋_GB2312"/>
          <w:color w:val="auto"/>
          <w:sz w:val="32"/>
          <w:szCs w:val="32"/>
          <w:lang w:val="en-US" w:eastAsia="zh-CN"/>
        </w:rPr>
        <w:t>2023-2024两年全覆盖监测</w:t>
      </w:r>
      <w:r>
        <w:rPr>
          <w:rStyle w:val="12"/>
          <w:rFonts w:hint="eastAsia" w:ascii="仿宋_GB2312" w:eastAsia="仿宋_GB2312"/>
          <w:color w:val="auto"/>
          <w:sz w:val="32"/>
          <w:szCs w:val="32"/>
        </w:rPr>
        <w:t>；为确保水源地水生态安全，开展饮用水源地保护区专项双随机执法检查任务，对35个水源地开展巡查检查，未发现生态环境违法行为；强化未纳管企业及居民住宅小区的废水排放监管，对3家废水排放地表单位按季度进行检查监测，共开展检查、监测12家次；聚力流域点穴执法，以重点污染企业、入河排污口等为重点，加强汛期检查，共下达3次流域“点穴”执法检查任务，共完成检查108家次。</w:t>
      </w:r>
    </w:p>
    <w:p>
      <w:pPr>
        <w:keepNext w:val="0"/>
        <w:keepLines w:val="0"/>
        <w:pageBreakBefore w:val="0"/>
        <w:widowControl w:val="0"/>
        <w:kinsoku/>
        <w:wordWrap/>
        <w:overflowPunct/>
        <w:topLinePunct w:val="0"/>
        <w:autoSpaceDE/>
        <w:autoSpaceDN/>
        <w:bidi w:val="0"/>
        <w:snapToGrid w:val="0"/>
        <w:spacing w:line="552" w:lineRule="exact"/>
        <w:ind w:firstLine="640" w:firstLineChars="200"/>
        <w:textAlignment w:val="auto"/>
        <w:rPr>
          <w:rStyle w:val="12"/>
          <w:rFonts w:hint="eastAsia" w:ascii="楷体_GB2312" w:hAnsi="楷体_GB2312" w:eastAsia="楷体_GB2312" w:cs="楷体_GB2312"/>
          <w:color w:val="auto"/>
          <w:sz w:val="32"/>
          <w:szCs w:val="32"/>
          <w:lang w:val="en-US" w:eastAsia="zh-CN"/>
        </w:rPr>
      </w:pPr>
      <w:r>
        <w:rPr>
          <w:rStyle w:val="12"/>
          <w:rFonts w:hint="eastAsia" w:ascii="楷体_GB2312" w:hAnsi="楷体_GB2312" w:eastAsia="楷体_GB2312" w:cs="楷体_GB2312"/>
          <w:color w:val="auto"/>
          <w:sz w:val="32"/>
          <w:szCs w:val="32"/>
          <w:lang w:val="en-US" w:eastAsia="zh-CN"/>
        </w:rPr>
        <w:t>（三）深入打好净土保卫战</w:t>
      </w:r>
    </w:p>
    <w:p>
      <w:pPr>
        <w:keepNext w:val="0"/>
        <w:keepLines w:val="0"/>
        <w:pageBreakBefore w:val="0"/>
        <w:widowControl w:val="0"/>
        <w:kinsoku/>
        <w:wordWrap/>
        <w:overflowPunct/>
        <w:topLinePunct w:val="0"/>
        <w:autoSpaceDE/>
        <w:autoSpaceDN/>
        <w:bidi w:val="0"/>
        <w:adjustRightInd/>
        <w:snapToGrid w:val="0"/>
        <w:spacing w:line="552"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保障建设用地土壤环境安全。深入贯彻落实《中华人民共和国土壤污染防治法》《北京市土壤污染防治条例》有关规定，切实保障辖区内建设用地土壤环境安全。全年累计检查相关地块56家次，督促依法落实土壤污染风险管控与修复措施。同时，累计检查土壤污染重点监管单位149家次，指导帮扶土壤污染重点监管单位履行法定义务。</w:t>
      </w:r>
    </w:p>
    <w:p>
      <w:pPr>
        <w:keepNext w:val="0"/>
        <w:keepLines w:val="0"/>
        <w:pageBreakBefore w:val="0"/>
        <w:widowControl w:val="0"/>
        <w:kinsoku/>
        <w:wordWrap/>
        <w:overflowPunct/>
        <w:topLinePunct w:val="0"/>
        <w:autoSpaceDE/>
        <w:autoSpaceDN/>
        <w:bidi w:val="0"/>
        <w:adjustRightInd/>
        <w:snapToGrid w:val="0"/>
        <w:spacing w:line="552"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2.管控农用地土壤环境风险。制定专项整治工作方案，对辖区内9家相关重点企业进行全覆盖检查。同时，加强农用地监督检查，联合水务、农业等部门检查35家次，未发现农田灌溉水井旁存在污染现象。</w:t>
      </w:r>
    </w:p>
    <w:p>
      <w:pPr>
        <w:keepNext w:val="0"/>
        <w:keepLines w:val="0"/>
        <w:pageBreakBefore w:val="0"/>
        <w:widowControl w:val="0"/>
        <w:kinsoku/>
        <w:wordWrap/>
        <w:overflowPunct/>
        <w:topLinePunct w:val="0"/>
        <w:autoSpaceDE/>
        <w:autoSpaceDN/>
        <w:bidi w:val="0"/>
        <w:adjustRightInd/>
        <w:snapToGrid w:val="0"/>
        <w:spacing w:line="552" w:lineRule="exact"/>
        <w:ind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强化危险废物监管，筑牢生态环境安全底线。健全生态环境、公安、应急管理、交通运输等部门联动、重大案件会商督办制度，强化信息共享和协作配合，保持对危险废物违法犯罪严厉打击的高压事态。全年累计检查涉危险废物相关单位910家次，联合区应急部门指导规范涉废企业593家次，</w:t>
      </w:r>
      <w:r>
        <w:rPr>
          <w:rFonts w:hint="eastAsia" w:ascii="仿宋_GB2312" w:hAnsi="Times New Roman" w:eastAsia="仿宋_GB2312" w:cs="Times New Roman"/>
          <w:b w:val="0"/>
          <w:bCs w:val="0"/>
          <w:color w:val="auto"/>
          <w:sz w:val="32"/>
          <w:szCs w:val="32"/>
          <w:highlight w:val="none"/>
          <w:lang w:eastAsia="zh-CN"/>
        </w:rPr>
        <w:t>依托“企安安”系统检查危废处置单位</w:t>
      </w:r>
      <w:r>
        <w:rPr>
          <w:rFonts w:hint="eastAsia" w:ascii="仿宋_GB2312" w:hAnsi="Times New Roman" w:eastAsia="仿宋_GB2312" w:cs="Times New Roman"/>
          <w:b w:val="0"/>
          <w:bCs w:val="0"/>
          <w:color w:val="auto"/>
          <w:sz w:val="32"/>
          <w:szCs w:val="32"/>
          <w:highlight w:val="none"/>
          <w:lang w:val="en-US" w:eastAsia="zh-CN"/>
        </w:rPr>
        <w:t>38</w:t>
      </w:r>
      <w:r>
        <w:rPr>
          <w:rFonts w:hint="eastAsia" w:ascii="仿宋_GB2312" w:hAnsi="Times New Roman" w:eastAsia="仿宋_GB2312" w:cs="Times New Roman"/>
          <w:b w:val="0"/>
          <w:bCs w:val="0"/>
          <w:color w:val="auto"/>
          <w:sz w:val="32"/>
          <w:szCs w:val="32"/>
          <w:highlight w:val="none"/>
          <w:lang w:eastAsia="zh-CN"/>
        </w:rPr>
        <w:t>家次，</w:t>
      </w:r>
      <w:r>
        <w:rPr>
          <w:rFonts w:hint="eastAsia" w:ascii="仿宋_GB2312" w:hAnsi="仿宋_GB2312" w:eastAsia="仿宋_GB2312" w:cs="仿宋_GB2312"/>
          <w:sz w:val="32"/>
          <w:szCs w:val="32"/>
          <w:highlight w:val="none"/>
          <w:lang w:val="en-US" w:eastAsia="zh-CN"/>
        </w:rPr>
        <w:t>全力消除辖区内危险废物环境风险隐患。</w:t>
      </w:r>
    </w:p>
    <w:p>
      <w:pPr>
        <w:keepNext w:val="0"/>
        <w:keepLines w:val="0"/>
        <w:pageBreakBefore w:val="0"/>
        <w:widowControl w:val="0"/>
        <w:kinsoku/>
        <w:wordWrap/>
        <w:overflowPunct/>
        <w:topLinePunct w:val="0"/>
        <w:autoSpaceDE/>
        <w:autoSpaceDN/>
        <w:bidi w:val="0"/>
        <w:adjustRightInd w:val="0"/>
        <w:snapToGrid w:val="0"/>
        <w:spacing w:line="552" w:lineRule="exact"/>
        <w:ind w:right="0" w:rightChars="0" w:firstLine="640" w:firstLineChars="200"/>
        <w:jc w:val="both"/>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六、行政处罚、行政强制等案件的办理情况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52" w:lineRule="exact"/>
        <w:ind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2024年</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依法处罚环境违法行为1759起，罚款金额945.52万元。</w:t>
      </w:r>
    </w:p>
    <w:p>
      <w:pPr>
        <w:keepNext w:val="0"/>
        <w:keepLines w:val="0"/>
        <w:pageBreakBefore w:val="0"/>
        <w:widowControl w:val="0"/>
        <w:kinsoku/>
        <w:wordWrap/>
        <w:overflowPunct/>
        <w:topLinePunct w:val="0"/>
        <w:autoSpaceDE/>
        <w:autoSpaceDN/>
        <w:bidi w:val="0"/>
        <w:adjustRightInd w:val="0"/>
        <w:snapToGrid w:val="0"/>
        <w:spacing w:line="552" w:lineRule="exact"/>
        <w:ind w:right="0" w:rightChars="0" w:firstLine="640" w:firstLineChars="200"/>
        <w:jc w:val="both"/>
        <w:textAlignment w:val="auto"/>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七、投诉、举报案件的受理办理情况</w:t>
      </w:r>
    </w:p>
    <w:p>
      <w:pPr>
        <w:pStyle w:val="4"/>
        <w:keepNext w:val="0"/>
        <w:keepLines w:val="0"/>
        <w:pageBreakBefore w:val="0"/>
        <w:widowControl w:val="0"/>
        <w:kinsoku/>
        <w:wordWrap/>
        <w:overflowPunct/>
        <w:topLinePunct w:val="0"/>
        <w:autoSpaceDE/>
        <w:autoSpaceDN/>
        <w:bidi w:val="0"/>
        <w:spacing w:line="560" w:lineRule="exact"/>
        <w:textAlignment w:val="auto"/>
        <w:rPr>
          <w:rFonts w:hint="default" w:ascii="仿宋_GB2312" w:eastAsia="仿宋_GB2312"/>
          <w:sz w:val="32"/>
          <w:szCs w:val="32"/>
          <w:highlight w:val="none"/>
          <w:lang w:val="en-US" w:eastAsia="zh-CN"/>
        </w:rPr>
      </w:pPr>
      <w:r>
        <w:rPr>
          <w:rFonts w:hint="eastAsia" w:ascii="仿宋_GB2312" w:eastAsia="仿宋_GB2312"/>
          <w:color w:val="auto"/>
          <w:sz w:val="32"/>
          <w:szCs w:val="32"/>
          <w:highlight w:val="none"/>
        </w:rPr>
        <w:t>截至2024年12月31日，共受理环境信访投诉528件，同比下降36.39%。按照投诉渠道统计，其中市12369投诉举报中心系统交办140件（占比26.5%）；市12345市民热线系统交办330件（占62.5%）；来电47件（占8.9%）；来信3件（占0.5%），来访1件（占0.2%），其他渠道7件（占1.4%）。</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8E352"/>
    <w:multiLevelType w:val="singleLevel"/>
    <w:tmpl w:val="3FE8E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mY0NmU4NjZmNWFhNjEzZjk4OGMxNTgzYzkyOTQifQ=="/>
    <w:docVar w:name="KSO_WPS_MARK_KEY" w:val="ee91bbc6-e389-4133-be9c-398536e47c8f"/>
  </w:docVars>
  <w:rsids>
    <w:rsidRoot w:val="0EBB4AED"/>
    <w:rsid w:val="0EBB4AED"/>
    <w:rsid w:val="0F057EE6"/>
    <w:rsid w:val="1B6C1112"/>
    <w:rsid w:val="27375730"/>
    <w:rsid w:val="274C2FAC"/>
    <w:rsid w:val="2D19172E"/>
    <w:rsid w:val="2FD70E5E"/>
    <w:rsid w:val="31A0F3D4"/>
    <w:rsid w:val="376D61C5"/>
    <w:rsid w:val="379E7328"/>
    <w:rsid w:val="38175AB0"/>
    <w:rsid w:val="3B7F0764"/>
    <w:rsid w:val="3C624D22"/>
    <w:rsid w:val="3EEF2D03"/>
    <w:rsid w:val="3EFB7B05"/>
    <w:rsid w:val="3F835F93"/>
    <w:rsid w:val="3F966F96"/>
    <w:rsid w:val="42C2790E"/>
    <w:rsid w:val="47BDD94D"/>
    <w:rsid w:val="4B370F3A"/>
    <w:rsid w:val="577F1682"/>
    <w:rsid w:val="5BEFE49C"/>
    <w:rsid w:val="5D50738A"/>
    <w:rsid w:val="5D90047A"/>
    <w:rsid w:val="5F1B75B1"/>
    <w:rsid w:val="5F7B8CB2"/>
    <w:rsid w:val="60252D7A"/>
    <w:rsid w:val="60F91E7E"/>
    <w:rsid w:val="6BBB92F7"/>
    <w:rsid w:val="6C0F58FE"/>
    <w:rsid w:val="6EFFC15F"/>
    <w:rsid w:val="726B2795"/>
    <w:rsid w:val="73F27BAF"/>
    <w:rsid w:val="74232265"/>
    <w:rsid w:val="78A31478"/>
    <w:rsid w:val="78DB555A"/>
    <w:rsid w:val="79E8DE1E"/>
    <w:rsid w:val="7EF73895"/>
    <w:rsid w:val="7FAF6D5D"/>
    <w:rsid w:val="8F6DA7AE"/>
    <w:rsid w:val="BB99B91A"/>
    <w:rsid w:val="BDFDB717"/>
    <w:rsid w:val="DEF9672D"/>
    <w:rsid w:val="F75F35AF"/>
    <w:rsid w:val="FD1906B8"/>
    <w:rsid w:val="FF97C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pPr>
      <w:spacing w:after="120" w:afterLines="0"/>
    </w:pPr>
    <w:rPr>
      <w:szCs w:val="20"/>
    </w:rPr>
  </w:style>
  <w:style w:type="paragraph" w:styleId="4">
    <w:name w:val="Normal Indent"/>
    <w:basedOn w:val="1"/>
    <w:qFormat/>
    <w:uiPriority w:val="0"/>
    <w:pPr>
      <w:ind w:firstLine="420" w:firstLineChars="200"/>
    </w:pPr>
  </w:style>
  <w:style w:type="paragraph" w:styleId="5">
    <w:name w:val="Body Text Indent 2"/>
    <w:basedOn w:val="1"/>
    <w:qFormat/>
    <w:uiPriority w:val="0"/>
    <w:pPr>
      <w:ind w:firstLine="600" w:firstLineChars="200"/>
    </w:pPr>
    <w:rPr>
      <w:rFonts w:ascii="Calibri" w:hAnsi="Calibri" w:eastAsia="仿宋_GB2312" w:cs="Times New Roman"/>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15"/>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3168</Words>
  <Characters>3379</Characters>
  <Lines>0</Lines>
  <Paragraphs>0</Paragraphs>
  <TotalTime>8</TotalTime>
  <ScaleCrop>false</ScaleCrop>
  <LinksUpToDate>false</LinksUpToDate>
  <CharactersWithSpaces>3451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2022-01-12T04:09:00Z</dcterms:created>
  <dc:creator>gy</dc:creator>
  <cp:lastModifiedBy>user</cp:lastModifiedBy>
  <cp:lastPrinted>2024-01-31T11:59:00Z</cp:lastPrinted>
  <dcterms:modified xsi:type="dcterms:W3CDTF">2025-01-23T14:29:11Z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45F0B6B55E454804BD8B3C7525B54B7E</vt:lpwstr>
  </property>
</Properties>
</file>