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黑体" w:hAnsi="黑体" w:eastAsia="黑体" w:cs="黑体"/>
          <w:color w:val="auto"/>
          <w:sz w:val="32"/>
          <w:highlight w:val="none"/>
          <w:lang w:eastAsia="zh-CN"/>
        </w:rPr>
      </w:pPr>
      <w:r>
        <w:rPr>
          <w:rFonts w:hint="eastAsia" w:ascii="黑体" w:hAnsi="黑体" w:eastAsia="黑体" w:cs="黑体"/>
          <w:color w:val="auto"/>
          <w:sz w:val="32"/>
          <w:highlight w:val="none"/>
          <w:lang w:eastAsia="zh-CN"/>
        </w:rPr>
        <w:t>附件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highlight w:val="none"/>
          <w:lang w:val="en-US" w:eastAsia="zh-CN"/>
        </w:rPr>
      </w:pPr>
      <w:bookmarkStart w:id="0" w:name="_GoBack"/>
      <w:r>
        <w:rPr>
          <w:rFonts w:hint="eastAsia" w:ascii="方正小标宋简体" w:hAnsi="方正小标宋简体" w:eastAsia="方正小标宋简体" w:cs="方正小标宋简体"/>
          <w:sz w:val="44"/>
          <w:szCs w:val="44"/>
          <w:highlight w:val="none"/>
          <w:lang w:val="en-US" w:eastAsia="zh-CN"/>
        </w:rPr>
        <w:t>大兴区房地一体的宅基地确权登记细则</w:t>
      </w:r>
      <w:bookmarkEnd w:id="0"/>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（试行）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推进大兴区房地一体宅基地确权登记工作，规范确权登记行为，扩大试点成效，根据《中华人民共和国民法典》《中华人民共和国土地管理法》《不动产登记暂行条例》等法律法规，以及《自然资源部关于加快宅基地和集体建设用地使用权确权登记工作的通知》（自然资发〔2020〕84号）、《北京市规划和自然资源委员会 北京市农业农村局关于印发</w:t>
      </w:r>
      <w:r>
        <w:rPr>
          <w:rFonts w:hint="eastAsia" w:ascii="仿宋_GB2312" w:hAnsi="仿宋_GB2312" w:eastAsia="仿宋_GB2312" w:cs="仿宋_GB2312"/>
          <w:kern w:val="2"/>
          <w:sz w:val="32"/>
          <w:szCs w:val="32"/>
          <w:lang w:val="en-US" w:eastAsia="zh-CN" w:bidi="ar-SA"/>
        </w:rPr>
        <w:t>&lt;北京市房地一体宅基地确权登记工作指导意见&gt;的通知》</w:t>
      </w:r>
      <w:r>
        <w:rPr>
          <w:rFonts w:hint="eastAsia" w:ascii="仿宋_GB2312" w:hAnsi="仿宋_GB2312" w:eastAsia="仿宋_GB2312" w:cs="仿宋_GB2312"/>
          <w:sz w:val="32"/>
          <w:szCs w:val="32"/>
          <w:highlight w:val="none"/>
          <w:lang w:val="en-US" w:eastAsia="zh-CN"/>
        </w:rPr>
        <w:t>（京规自发〔2024〕243号）等规定，</w:t>
      </w:r>
      <w:r>
        <w:rPr>
          <w:rFonts w:hint="eastAsia" w:ascii="仿宋_GB2312" w:hAnsi="仿宋_GB2312" w:eastAsia="仿宋_GB2312" w:cs="仿宋_GB2312"/>
          <w:sz w:val="32"/>
          <w:szCs w:val="32"/>
        </w:rPr>
        <w:t>结合实际，制定本</w:t>
      </w:r>
      <w:r>
        <w:rPr>
          <w:rFonts w:hint="eastAsia" w:ascii="仿宋_GB2312" w:hAnsi="仿宋_GB2312" w:eastAsia="仿宋_GB2312" w:cs="仿宋_GB2312"/>
          <w:sz w:val="32"/>
          <w:szCs w:val="32"/>
          <w:lang w:val="en-US" w:eastAsia="zh-CN"/>
        </w:rPr>
        <w:t>细则。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outlineLvl w:val="0"/>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一、工作原则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（一）坚持“尊重历史、兼顾现状”原则。</w:t>
      </w:r>
      <w:r>
        <w:rPr>
          <w:rFonts w:hint="eastAsia" w:ascii="仿宋_GB2312" w:hAnsi="仿宋_GB2312" w:eastAsia="仿宋_GB2312" w:cs="仿宋_GB2312"/>
          <w:sz w:val="32"/>
          <w:szCs w:val="32"/>
          <w:highlight w:val="none"/>
          <w:lang w:val="en-US" w:eastAsia="zh-CN"/>
        </w:rPr>
        <w:t>针对不同阶段的历史遗留问题依法依规、分类处理，切实维护村民合法权益，注重纠纷调处和舆情预警应对，确保农村社会面平稳有序。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（二）坚持“一户一宅、规范管理”原则。</w:t>
      </w:r>
      <w:r>
        <w:rPr>
          <w:rFonts w:hint="eastAsia" w:ascii="仿宋_GB2312" w:hAnsi="仿宋_GB2312" w:eastAsia="仿宋_GB2312" w:cs="仿宋_GB2312"/>
          <w:sz w:val="32"/>
          <w:szCs w:val="32"/>
          <w:highlight w:val="none"/>
          <w:lang w:val="en-US" w:eastAsia="zh-CN"/>
        </w:rPr>
        <w:t>在开展确权登记时，村、镇应当通过数据套核、走访调查等确保“宅基地使用权不得重复享受”。对于因历史问题暂时不符合确权登记条件的宅基地，查明原因，建立台账，后续通过规范管理、规划实施等逐步达到确权登记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（三）坚持“镇级主责、村民自治”原则。</w:t>
      </w:r>
      <w:r>
        <w:rPr>
          <w:rFonts w:hint="eastAsia" w:ascii="仿宋_GB2312" w:hAnsi="仿宋_GB2312" w:eastAsia="仿宋_GB2312" w:cs="仿宋_GB2312"/>
          <w:sz w:val="32"/>
          <w:szCs w:val="32"/>
          <w:highlight w:val="none"/>
          <w:lang w:val="en-US" w:eastAsia="zh-CN"/>
        </w:rPr>
        <w:t>各镇政府负责本镇房地一体宅基地确权登记工作的具体实施。在不违反法律法规和禁止性政策规定的前提下，各镇政府指导各集体经济组织通过民主程序制定政策规定，妥善解决工作中遇到的问题。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（四）坚持“从易到难、稳步推进”原则。</w:t>
      </w:r>
      <w:r>
        <w:rPr>
          <w:rFonts w:hint="eastAsia" w:ascii="仿宋_GB2312" w:hAnsi="仿宋_GB2312" w:eastAsia="仿宋_GB2312" w:cs="仿宋_GB2312"/>
          <w:sz w:val="32"/>
          <w:szCs w:val="32"/>
          <w:highlight w:val="none"/>
          <w:lang w:val="en-US" w:eastAsia="zh-CN"/>
        </w:rPr>
        <w:t>各镇通过试点总结经验，再逐步全面铺开。先期开展地籍调查摸清底数，再根据实际情况组织开展确权登记。办理确权登记时，先期对房地权属来源材料齐备、家庭成员均为本农村集体经济组织成员、宅基地现状面积不超过标准面积等情形的宅基地开展登记发证，再逐步扩展至复杂情形。</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right="0" w:firstLine="640" w:firstLineChars="200"/>
        <w:jc w:val="both"/>
        <w:textAlignment w:val="auto"/>
        <w:outlineLvl w:val="0"/>
        <w:rPr>
          <w:rFonts w:hint="eastAsia" w:ascii="仿宋_GB2312" w:hAnsi="仿宋_GB2312" w:eastAsia="仿宋_GB2312" w:cs="仿宋_GB2312"/>
          <w:b/>
          <w:bCs/>
          <w:sz w:val="32"/>
          <w:szCs w:val="32"/>
          <w:highlight w:val="none"/>
          <w:lang w:val="en-US" w:eastAsia="zh-CN"/>
        </w:rPr>
      </w:pPr>
      <w:r>
        <w:rPr>
          <w:rFonts w:hint="eastAsia" w:ascii="黑体" w:hAnsi="黑体" w:eastAsia="黑体" w:cs="黑体"/>
          <w:b w:val="0"/>
          <w:bCs w:val="0"/>
          <w:sz w:val="32"/>
          <w:szCs w:val="32"/>
          <w:highlight w:val="none"/>
          <w:lang w:val="en-US" w:eastAsia="zh-CN"/>
        </w:rPr>
        <w:t>二、户成员的确认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除</w:t>
      </w:r>
      <w:r>
        <w:rPr>
          <w:rFonts w:hint="default" w:ascii="仿宋_GB2312" w:hAnsi="仿宋_GB2312" w:eastAsia="仿宋_GB2312" w:cs="仿宋_GB2312"/>
          <w:sz w:val="32"/>
          <w:szCs w:val="32"/>
          <w:highlight w:val="none"/>
          <w:lang w:val="en-US" w:eastAsia="zh-CN"/>
        </w:rPr>
        <w:t>因继承房屋占用宅基地</w:t>
      </w:r>
      <w:r>
        <w:rPr>
          <w:rFonts w:hint="eastAsia" w:ascii="仿宋_GB2312" w:hAnsi="仿宋_GB2312" w:eastAsia="仿宋_GB2312" w:cs="仿宋_GB2312"/>
          <w:sz w:val="32"/>
          <w:szCs w:val="32"/>
          <w:highlight w:val="none"/>
          <w:lang w:val="en-US" w:eastAsia="zh-CN"/>
        </w:rPr>
        <w:t>或其他情形确权登记到人外，宅基地使用权应当确权登记到户。户籍登记在同一宗宅基地上的配偶、父母、子女和其他共同生活的近亲属等家庭成员符合下列条件之一的，经</w:t>
      </w:r>
      <w:r>
        <w:rPr>
          <w:rFonts w:hint="eastAsia" w:ascii="仿宋_GB2312" w:hAnsi="仿宋_GB2312" w:eastAsia="仿宋_GB2312" w:cs="仿宋_GB2312"/>
          <w:kern w:val="2"/>
          <w:sz w:val="32"/>
          <w:szCs w:val="32"/>
          <w:highlight w:val="none"/>
          <w:lang w:val="en-US" w:eastAsia="zh-CN" w:bidi="ar-SA"/>
        </w:rPr>
        <w:t>农村集体经济组织、镇政府</w:t>
      </w:r>
      <w:r>
        <w:rPr>
          <w:rFonts w:hint="eastAsia" w:ascii="仿宋_GB2312" w:hAnsi="仿宋_GB2312" w:eastAsia="仿宋_GB2312" w:cs="仿宋_GB2312"/>
          <w:sz w:val="32"/>
          <w:szCs w:val="32"/>
          <w:highlight w:val="none"/>
          <w:lang w:val="en-US" w:eastAsia="zh-CN"/>
        </w:rPr>
        <w:t>确认，在房地一体宅基地确权登记工作中可以作为户成员享受宅基地使用权：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（一）本农村集体经济组织成员；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w:t>
      </w:r>
      <w:r>
        <w:rPr>
          <w:rFonts w:hint="default" w:ascii="仿宋_GB2312" w:hAnsi="仿宋_GB2312" w:eastAsia="仿宋_GB2312" w:cs="仿宋_GB2312"/>
          <w:sz w:val="32"/>
          <w:szCs w:val="32"/>
          <w:highlight w:val="none"/>
          <w:lang w:val="en-US" w:eastAsia="zh-CN"/>
        </w:rPr>
        <w:t>因</w:t>
      </w:r>
      <w:r>
        <w:rPr>
          <w:rFonts w:hint="eastAsia" w:ascii="仿宋_GB2312" w:hAnsi="仿宋_GB2312" w:eastAsia="仿宋_GB2312" w:cs="仿宋_GB2312"/>
          <w:sz w:val="32"/>
          <w:szCs w:val="32"/>
          <w:highlight w:val="none"/>
          <w:lang w:val="en-US" w:eastAsia="zh-CN"/>
        </w:rPr>
        <w:t>婚嫁</w:t>
      </w:r>
      <w:r>
        <w:rPr>
          <w:rFonts w:hint="default" w:ascii="仿宋_GB2312" w:hAnsi="仿宋_GB2312" w:eastAsia="仿宋_GB2312" w:cs="仿宋_GB2312"/>
          <w:sz w:val="32"/>
          <w:szCs w:val="32"/>
          <w:highlight w:val="none"/>
          <w:lang w:val="en-US" w:eastAsia="zh-CN"/>
        </w:rPr>
        <w:t>、就业、</w:t>
      </w:r>
      <w:r>
        <w:rPr>
          <w:rFonts w:hint="eastAsia" w:ascii="仿宋_GB2312" w:hAnsi="仿宋_GB2312" w:eastAsia="仿宋_GB2312" w:cs="仿宋_GB2312"/>
          <w:sz w:val="32"/>
          <w:szCs w:val="32"/>
          <w:highlight w:val="none"/>
          <w:lang w:val="en-US" w:eastAsia="zh-CN"/>
        </w:rPr>
        <w:t>入学</w:t>
      </w:r>
      <w:r>
        <w:rPr>
          <w:rFonts w:hint="default" w:ascii="仿宋_GB2312" w:hAnsi="仿宋_GB2312" w:eastAsia="仿宋_GB2312" w:cs="仿宋_GB2312"/>
          <w:sz w:val="32"/>
          <w:szCs w:val="32"/>
          <w:highlight w:val="none"/>
          <w:lang w:val="en-US" w:eastAsia="zh-CN"/>
        </w:rPr>
        <w:t>等原因</w:t>
      </w:r>
      <w:r>
        <w:rPr>
          <w:rFonts w:hint="eastAsia" w:ascii="仿宋_GB2312" w:hAnsi="仿宋_GB2312" w:eastAsia="仿宋_GB2312" w:cs="仿宋_GB2312"/>
          <w:sz w:val="32"/>
          <w:szCs w:val="32"/>
          <w:highlight w:val="none"/>
          <w:lang w:val="en-US" w:eastAsia="zh-CN"/>
        </w:rPr>
        <w:t>将户口迁出本村或者转非</w:t>
      </w:r>
      <w:r>
        <w:rPr>
          <w:rFonts w:hint="default" w:ascii="仿宋_GB2312" w:hAnsi="仿宋_GB2312" w:eastAsia="仿宋_GB2312" w:cs="仿宋_GB2312"/>
          <w:sz w:val="32"/>
          <w:szCs w:val="32"/>
          <w:highlight w:val="none"/>
          <w:lang w:val="en-US" w:eastAsia="zh-CN"/>
        </w:rPr>
        <w:t>的原本农村集体经济组织成员</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w:t>
      </w:r>
      <w:r>
        <w:rPr>
          <w:rFonts w:hint="default" w:ascii="仿宋_GB2312" w:hAnsi="仿宋_GB2312" w:eastAsia="仿宋_GB2312" w:cs="仿宋_GB2312"/>
          <w:sz w:val="32"/>
          <w:szCs w:val="32"/>
          <w:highlight w:val="none"/>
          <w:lang w:val="en-US" w:eastAsia="zh-CN"/>
        </w:rPr>
        <w:t>因新农村建设、</w:t>
      </w:r>
      <w:r>
        <w:rPr>
          <w:rFonts w:hint="eastAsia" w:ascii="仿宋_GB2312" w:hAnsi="仿宋_GB2312" w:eastAsia="仿宋_GB2312" w:cs="仿宋_GB2312"/>
          <w:sz w:val="32"/>
          <w:szCs w:val="32"/>
          <w:highlight w:val="none"/>
          <w:lang w:val="en-US" w:eastAsia="zh-CN"/>
        </w:rPr>
        <w:t>异地搬迁</w:t>
      </w:r>
      <w:r>
        <w:rPr>
          <w:rFonts w:hint="default" w:ascii="仿宋_GB2312" w:hAnsi="仿宋_GB2312" w:eastAsia="仿宋_GB2312" w:cs="仿宋_GB2312"/>
          <w:sz w:val="32"/>
          <w:szCs w:val="32"/>
          <w:highlight w:val="none"/>
          <w:lang w:val="en-US" w:eastAsia="zh-CN"/>
        </w:rPr>
        <w:t>等按照政府统一规划和批准使用宅基地的，退出原宅基地</w:t>
      </w:r>
      <w:r>
        <w:rPr>
          <w:rFonts w:hint="eastAsia" w:ascii="仿宋_GB2312" w:hAnsi="仿宋_GB2312" w:eastAsia="仿宋_GB2312" w:cs="仿宋_GB2312"/>
          <w:sz w:val="32"/>
          <w:szCs w:val="32"/>
          <w:highlight w:val="none"/>
          <w:lang w:val="en-US" w:eastAsia="zh-CN"/>
        </w:rPr>
        <w:t>（已经登记的应完成注销登记）的</w:t>
      </w:r>
      <w:r>
        <w:rPr>
          <w:rFonts w:hint="default" w:ascii="仿宋_GB2312" w:hAnsi="仿宋_GB2312" w:eastAsia="仿宋_GB2312" w:cs="仿宋_GB2312"/>
          <w:sz w:val="32"/>
          <w:szCs w:val="32"/>
          <w:highlight w:val="none"/>
          <w:lang w:val="en-US" w:eastAsia="zh-CN"/>
        </w:rPr>
        <w:t>非本农村集体经济组织成员</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w:t>
      </w:r>
      <w:r>
        <w:rPr>
          <w:rFonts w:hint="default" w:ascii="仿宋_GB2312" w:hAnsi="仿宋_GB2312" w:eastAsia="仿宋_GB2312" w:cs="仿宋_GB2312"/>
          <w:sz w:val="32"/>
          <w:szCs w:val="32"/>
          <w:highlight w:val="none"/>
          <w:lang w:val="en-US" w:eastAsia="zh-CN"/>
        </w:rPr>
        <w:t>因继承房屋占用宅基地的非本农村集体经济组织成员</w:t>
      </w:r>
      <w:r>
        <w:rPr>
          <w:rFonts w:hint="eastAsia" w:ascii="仿宋_GB2312" w:hAnsi="仿宋_GB2312" w:eastAsia="仿宋_GB2312" w:cs="仿宋_GB2312"/>
          <w:sz w:val="32"/>
          <w:szCs w:val="32"/>
          <w:highlight w:val="none"/>
          <w:lang w:val="en-US" w:eastAsia="zh-CN"/>
        </w:rPr>
        <w:t>（含城镇居民）；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w:t>
      </w:r>
      <w:r>
        <w:rPr>
          <w:rFonts w:hint="default" w:ascii="仿宋_GB2312" w:hAnsi="仿宋_GB2312" w:eastAsia="仿宋_GB2312" w:cs="仿宋_GB2312"/>
          <w:sz w:val="32"/>
          <w:szCs w:val="32"/>
          <w:highlight w:val="none"/>
          <w:lang w:val="en-US" w:eastAsia="zh-CN"/>
        </w:rPr>
        <w:t>1999年《国务院办公厅关于加强土地转让管理严禁炒卖土地的通知》（国办发〔1999〕39号）印发前，回原籍村庄、集镇落户的职工、退伍军人、离（退）休干部以及回乡定居的华侨、港澳台同胞等非本农村集体经济组织成员</w:t>
      </w:r>
      <w:r>
        <w:rPr>
          <w:rFonts w:hint="eastAsia" w:ascii="仿宋_GB2312" w:hAnsi="仿宋_GB2312" w:eastAsia="仿宋_GB2312" w:cs="仿宋_GB2312"/>
          <w:sz w:val="32"/>
          <w:szCs w:val="32"/>
          <w:highlight w:val="none"/>
          <w:lang w:val="en-US" w:eastAsia="zh-CN"/>
        </w:rPr>
        <w:t>，可按规定对原始取得人员按权利人依法确权登记。</w:t>
      </w:r>
      <w:r>
        <w:rPr>
          <w:rFonts w:hint="default" w:ascii="仿宋_GB2312" w:hAnsi="仿宋_GB2312" w:eastAsia="仿宋_GB2312" w:cs="仿宋_GB2312"/>
          <w:sz w:val="32"/>
          <w:szCs w:val="32"/>
          <w:highlight w:val="none"/>
          <w:lang w:val="en-US" w:eastAsia="zh-CN"/>
        </w:rPr>
        <w:t>国办发〔1999〕39号</w:t>
      </w:r>
      <w:r>
        <w:rPr>
          <w:rFonts w:hint="eastAsia" w:ascii="仿宋_GB2312" w:hAnsi="仿宋_GB2312" w:eastAsia="仿宋_GB2312" w:cs="仿宋_GB2312"/>
          <w:sz w:val="32"/>
          <w:szCs w:val="32"/>
          <w:highlight w:val="none"/>
          <w:lang w:val="en-US" w:eastAsia="zh-CN"/>
        </w:rPr>
        <w:t>文件印发后，城镇居民违法占用宅基地建造房屋、购买农房的，不予登记；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highlight w:val="none"/>
          <w:lang w:val="en-US" w:eastAsia="zh-CN"/>
        </w:rPr>
        <w:t>非京籍人员与我区农村集体经济组织成员结婚</w:t>
      </w:r>
      <w:r>
        <w:rPr>
          <w:rFonts w:hint="default" w:ascii="仿宋_GB2312" w:hAnsi="仿宋_GB2312" w:eastAsia="仿宋_GB2312" w:cs="仿宋_GB2312"/>
          <w:sz w:val="32"/>
          <w:szCs w:val="32"/>
          <w:highlight w:val="none"/>
          <w:lang w:val="en-US" w:eastAsia="zh-CN"/>
        </w:rPr>
        <w:t>，但受户籍政策限制未能将户口迁入</w:t>
      </w:r>
      <w:r>
        <w:rPr>
          <w:rFonts w:hint="eastAsia" w:ascii="仿宋_GB2312" w:hAnsi="仿宋_GB2312" w:eastAsia="仿宋_GB2312" w:cs="仿宋_GB2312"/>
          <w:sz w:val="32"/>
          <w:szCs w:val="32"/>
          <w:highlight w:val="none"/>
          <w:lang w:val="en-US" w:eastAsia="zh-CN"/>
        </w:rPr>
        <w:t>本村或者</w:t>
      </w:r>
      <w:r>
        <w:rPr>
          <w:rFonts w:hint="default" w:ascii="仿宋_GB2312" w:hAnsi="仿宋_GB2312" w:eastAsia="仿宋_GB2312" w:cs="仿宋_GB2312"/>
          <w:sz w:val="32"/>
          <w:szCs w:val="32"/>
          <w:highlight w:val="none"/>
          <w:lang w:val="en-US" w:eastAsia="zh-CN"/>
        </w:rPr>
        <w:t>户口</w:t>
      </w:r>
      <w:r>
        <w:rPr>
          <w:rFonts w:hint="eastAsia" w:ascii="仿宋_GB2312" w:hAnsi="仿宋_GB2312" w:eastAsia="仿宋_GB2312" w:cs="仿宋_GB2312"/>
          <w:sz w:val="32"/>
          <w:szCs w:val="32"/>
          <w:highlight w:val="none"/>
          <w:lang w:val="en-US" w:eastAsia="zh-CN"/>
        </w:rPr>
        <w:t>已经</w:t>
      </w:r>
      <w:r>
        <w:rPr>
          <w:rFonts w:hint="default" w:ascii="仿宋_GB2312" w:hAnsi="仿宋_GB2312" w:eastAsia="仿宋_GB2312" w:cs="仿宋_GB2312"/>
          <w:sz w:val="32"/>
          <w:szCs w:val="32"/>
          <w:highlight w:val="none"/>
          <w:lang w:val="en-US" w:eastAsia="zh-CN"/>
        </w:rPr>
        <w:t>迁入</w:t>
      </w:r>
      <w:r>
        <w:rPr>
          <w:rFonts w:hint="eastAsia" w:ascii="仿宋_GB2312" w:hAnsi="仿宋_GB2312" w:eastAsia="仿宋_GB2312" w:cs="仿宋_GB2312"/>
          <w:sz w:val="32"/>
          <w:szCs w:val="32"/>
          <w:highlight w:val="none"/>
          <w:lang w:val="en-US" w:eastAsia="zh-CN"/>
        </w:rPr>
        <w:t>但属于非农业户口的人员，由各农村集体经济组织决定是否可以享受宅基地使用权。前述可以享受宅基地使用权的人员，户籍地不在北京的，应当提供在户籍地不享受宅基地使用权的证明材料或书面承诺。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right="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各户原则上应当在户成员中确定一名户主（户代表）记载于不动产权证“权利人栏”，其他家庭成员记载于不动产权证“权利其他状况栏”。</w:t>
      </w:r>
      <w:r>
        <w:rPr>
          <w:rFonts w:hint="eastAsia" w:ascii="仿宋_GB2312" w:hAnsi="仿宋_GB2312" w:eastAsia="仿宋_GB2312" w:cs="仿宋_GB2312"/>
          <w:kern w:val="2"/>
          <w:sz w:val="32"/>
          <w:szCs w:val="32"/>
          <w:highlight w:val="none"/>
          <w:lang w:val="en-US" w:eastAsia="zh-CN" w:bidi="ar-SA"/>
        </w:rPr>
        <w:t>户主（户代表）</w:t>
      </w:r>
      <w:r>
        <w:rPr>
          <w:rFonts w:hint="default" w:ascii="仿宋_GB2312" w:hAnsi="仿宋_GB2312" w:eastAsia="仿宋_GB2312" w:cs="仿宋_GB2312"/>
          <w:kern w:val="2"/>
          <w:sz w:val="32"/>
          <w:szCs w:val="32"/>
          <w:highlight w:val="none"/>
          <w:lang w:val="en-US" w:eastAsia="zh-CN" w:bidi="ar-SA"/>
        </w:rPr>
        <w:t>原则上应为</w:t>
      </w:r>
      <w:r>
        <w:rPr>
          <w:rFonts w:hint="eastAsia" w:ascii="仿宋_GB2312" w:hAnsi="仿宋_GB2312" w:eastAsia="仿宋_GB2312" w:cs="仿宋_GB2312"/>
          <w:kern w:val="2"/>
          <w:sz w:val="32"/>
          <w:szCs w:val="32"/>
          <w:highlight w:val="none"/>
          <w:lang w:val="en-US" w:eastAsia="zh-CN" w:bidi="ar-SA"/>
        </w:rPr>
        <w:t>本农村</w:t>
      </w:r>
      <w:r>
        <w:rPr>
          <w:rFonts w:hint="default" w:ascii="仿宋_GB2312" w:hAnsi="仿宋_GB2312" w:eastAsia="仿宋_GB2312" w:cs="仿宋_GB2312"/>
          <w:kern w:val="2"/>
          <w:sz w:val="32"/>
          <w:szCs w:val="32"/>
          <w:highlight w:val="none"/>
          <w:lang w:val="en-US" w:eastAsia="zh-CN" w:bidi="ar-SA"/>
        </w:rPr>
        <w:t>集体经济组织成员</w:t>
      </w: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eastAsia="仿宋_GB2312" w:cs="仿宋_GB2312"/>
          <w:sz w:val="32"/>
          <w:szCs w:val="32"/>
          <w:highlight w:val="none"/>
          <w:lang w:val="en-US" w:eastAsia="zh-CN"/>
        </w:rPr>
        <w:t>对于已经取得批准（登记）手续且批准（登记）手续记载的人员在世的，权利人应与批准（登记）人员一致。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outlineLvl w:val="0"/>
        <w:rPr>
          <w:rFonts w:hint="default" w:ascii="仿宋_GB2312" w:hAnsi="仿宋_GB2312" w:eastAsia="仿宋_GB2312" w:cs="仿宋_GB2312"/>
          <w:b/>
          <w:bCs/>
          <w:sz w:val="32"/>
          <w:szCs w:val="32"/>
          <w:highlight w:val="none"/>
          <w:lang w:val="en-US" w:eastAsia="zh-CN"/>
        </w:rPr>
      </w:pPr>
      <w:r>
        <w:rPr>
          <w:rFonts w:hint="eastAsia" w:ascii="黑体" w:hAnsi="黑体" w:eastAsia="黑体" w:cs="黑体"/>
          <w:b w:val="0"/>
          <w:bCs w:val="0"/>
          <w:sz w:val="32"/>
          <w:szCs w:val="32"/>
          <w:highlight w:val="none"/>
          <w:lang w:val="en-US" w:eastAsia="zh-CN"/>
        </w:rPr>
        <w:t>三、“户数”认定标准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一宗宅基地原则上应认为只有一户；也可以经各户申请，由</w:t>
      </w:r>
      <w:r>
        <w:rPr>
          <w:rFonts w:hint="eastAsia" w:ascii="仿宋_GB2312" w:hAnsi="仿宋_GB2312" w:eastAsia="仿宋_GB2312" w:cs="仿宋_GB2312"/>
          <w:kern w:val="2"/>
          <w:sz w:val="32"/>
          <w:szCs w:val="32"/>
          <w:highlight w:val="none"/>
          <w:lang w:val="en-US" w:eastAsia="zh-CN" w:bidi="ar-SA"/>
        </w:rPr>
        <w:t>农村集体经济组织、镇政府</w:t>
      </w:r>
      <w:r>
        <w:rPr>
          <w:rFonts w:hint="eastAsia" w:ascii="仿宋_GB2312" w:hAnsi="仿宋_GB2312" w:eastAsia="仿宋_GB2312" w:cs="仿宋_GB2312"/>
          <w:sz w:val="32"/>
          <w:szCs w:val="32"/>
          <w:highlight w:val="none"/>
          <w:lang w:val="en-US" w:eastAsia="zh-CN"/>
        </w:rPr>
        <w:t>按照下列标准认定“户数”，以计算宅基地标准面积:</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（一）夫妻双方与未达到法定结婚年龄的子（女）为一“户”；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rPr>
          <w:rFonts w:hint="eastAsia"/>
          <w:sz w:val="32"/>
          <w:szCs w:val="32"/>
          <w:lang w:val="en-US" w:eastAsia="zh-CN"/>
        </w:rPr>
      </w:pPr>
      <w:r>
        <w:rPr>
          <w:rFonts w:hint="eastAsia" w:ascii="仿宋_GB2312" w:hAnsi="仿宋_GB2312" w:eastAsia="仿宋_GB2312" w:cs="仿宋_GB2312"/>
          <w:sz w:val="32"/>
          <w:szCs w:val="32"/>
          <w:highlight w:val="none"/>
          <w:lang w:val="en-US" w:eastAsia="zh-CN"/>
        </w:rPr>
        <w:t>（二）达到法定结婚年龄的子（女）为一“户”。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rPr>
          <w:rFonts w:hint="eastAsia"/>
          <w:sz w:val="32"/>
          <w:szCs w:val="32"/>
          <w:lang w:val="en-US" w:eastAsia="zh-CN"/>
        </w:rPr>
      </w:pPr>
      <w:r>
        <w:rPr>
          <w:rFonts w:hint="eastAsia" w:ascii="仿宋_GB2312" w:hAnsi="仿宋_GB2312" w:eastAsia="仿宋_GB2312" w:cs="仿宋_GB2312"/>
          <w:sz w:val="32"/>
          <w:szCs w:val="32"/>
          <w:highlight w:val="none"/>
          <w:lang w:val="en-US" w:eastAsia="zh-CN"/>
        </w:rPr>
        <w:t>“户数”的认定须</w:t>
      </w:r>
      <w:r>
        <w:rPr>
          <w:rFonts w:hint="eastAsia" w:ascii="仿宋_GB2312" w:hAnsi="仿宋_GB2312" w:eastAsia="仿宋_GB2312" w:cs="仿宋_GB2312"/>
          <w:sz w:val="32"/>
          <w:szCs w:val="32"/>
        </w:rPr>
        <w:t>符合</w:t>
      </w:r>
      <w:r>
        <w:rPr>
          <w:rFonts w:hint="eastAsia" w:ascii="仿宋_GB2312" w:hAnsi="仿宋_GB2312" w:eastAsia="仿宋_GB2312" w:cs="仿宋_GB2312"/>
          <w:sz w:val="32"/>
          <w:szCs w:val="32"/>
          <w:lang w:eastAsia="zh-CN"/>
        </w:rPr>
        <w:t>当时</w:t>
      </w:r>
      <w:r>
        <w:rPr>
          <w:rFonts w:hint="eastAsia" w:ascii="仿宋_GB2312" w:hAnsi="仿宋_GB2312" w:eastAsia="仿宋_GB2312" w:cs="仿宋_GB2312"/>
          <w:sz w:val="32"/>
          <w:szCs w:val="32"/>
        </w:rPr>
        <w:t>分户建房</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highlight w:val="none"/>
          <w:lang w:val="en-US" w:eastAsia="zh-CN"/>
        </w:rPr>
        <w:t>户成员在2020年7月30日（含当日）之前符合“分户”规定的，按照上述标准进行“户数”的认定；户成员在2020年7月30日（不含当日）至2021年9月17日（含当日）符合“分户”规定的，按照《北京市人民政府关于落实户有所居加强农村宅基地及房屋建设管理的指导意见》（京政发〔2020〕15 号）进行“户数”的认定；户成员在2021年9月17日（不含当日）后符合“分户”规定的，按照</w:t>
      </w:r>
      <w:r>
        <w:rPr>
          <w:rFonts w:hint="eastAsia" w:ascii="仿宋_GB2312" w:hAnsi="仿宋_GB2312" w:eastAsia="仿宋_GB2312" w:cs="仿宋_GB2312"/>
          <w:kern w:val="2"/>
          <w:sz w:val="32"/>
          <w:szCs w:val="32"/>
          <w:highlight w:val="none"/>
          <w:lang w:val="en-US" w:eastAsia="zh-CN" w:bidi="ar-SA"/>
        </w:rPr>
        <w:t>《大兴区农村宅基地及建房审批管理实施细则（试行）》（以下简称“《实施细则》”)</w:t>
      </w:r>
      <w:r>
        <w:rPr>
          <w:rFonts w:hint="eastAsia" w:ascii="仿宋_GB2312" w:hAnsi="仿宋_GB2312" w:eastAsia="仿宋_GB2312" w:cs="仿宋_GB2312"/>
          <w:sz w:val="32"/>
          <w:szCs w:val="32"/>
          <w:highlight w:val="none"/>
          <w:lang w:val="en-US" w:eastAsia="zh-CN"/>
        </w:rPr>
        <w:t>进行“户数”的认定。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房地一体宅基地确权登记工作中，户口簿不作为认定“户数”的依据。本细则“户数”的认定标准不作为办理户口簿的依据。一宗宅基地上的户成员按照本细则可以认定多“户”的，原则上应当明确一名户主（户代表）办理确权登记事宜，如果符合确权登记条件的，颁发一本不动产权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outlineLvl w:val="0"/>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四、按照不同的历史阶段妥善处理宅基地超面积问题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（一）1982年2月24日（含当日）前，村民占用宅基地建房且至今未扩大用地面积的，面积未超过266.67平方米的按照实际面积确权登记；面积超过266.67平方米的，按照266.67平方米确权登记；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（二）1982年2月24日（不含当日）后，村民占用宅基地建房且至今未扩大用地面积的，面积未超过200.00平方米的按照实际面积确权登记；面积超过200.00平方米的，按照200.00平方米确权登记；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宅基地内户成员尚未分户但符合“分户”认定标准的，其现有的宅基地没有超过标准面积的，按照实际面积予以确权登记；其现有的宅基地超过标准面积的，按照标准面积予以确权登记。标准面积等于“户数”乘以“法定面积”。“户数”应当根据本细则认定；“法定面积”按照1982年2月24日（含当日）前每“户”266.67平方米、1982年2月24日（不含当日）后每“户”200.00平方米确定。如果一宗宅基地内可以分为多户且当时的分户建房标准不一致的，则按照合计计算标准面积。</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历史上接受转让、赠与房屋占用的宅基地超过“法定面积”的，以转让、赠与行为发生时为时点，按照上述规定予以确权登记。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outlineLvl w:val="0"/>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五、“一户多宅”问题的处理</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rightChars="0" w:firstLine="640" w:firstLineChars="200"/>
        <w:jc w:val="both"/>
        <w:textAlignment w:val="auto"/>
        <w:rPr>
          <w:rFonts w:hint="default" w:ascii="仿宋_GB2312" w:hAnsi="仿宋_GB2312" w:eastAsia="仿宋_GB2312" w:cs="仿宋_GB2312"/>
          <w:b w:val="0"/>
          <w:bCs w:val="0"/>
          <w:kern w:val="2"/>
          <w:sz w:val="32"/>
          <w:szCs w:val="32"/>
          <w:highlight w:val="none"/>
          <w:lang w:val="en-US" w:eastAsia="zh-CN" w:bidi="ar-SA"/>
        </w:rPr>
      </w:pPr>
      <w:r>
        <w:rPr>
          <w:rFonts w:hint="default" w:ascii="仿宋_GB2312" w:hAnsi="仿宋_GB2312" w:eastAsia="仿宋_GB2312" w:cs="仿宋_GB2312"/>
          <w:b w:val="0"/>
          <w:bCs w:val="0"/>
          <w:kern w:val="2"/>
          <w:sz w:val="32"/>
          <w:szCs w:val="32"/>
          <w:highlight w:val="none"/>
          <w:lang w:val="en-US" w:eastAsia="zh-CN" w:bidi="ar-SA"/>
        </w:rPr>
        <w:t>一户拥有多</w:t>
      </w:r>
      <w:r>
        <w:rPr>
          <w:rFonts w:hint="eastAsia" w:ascii="仿宋_GB2312" w:hAnsi="仿宋_GB2312" w:eastAsia="仿宋_GB2312" w:cs="仿宋_GB2312"/>
          <w:b w:val="0"/>
          <w:bCs w:val="0"/>
          <w:kern w:val="2"/>
          <w:sz w:val="32"/>
          <w:szCs w:val="32"/>
          <w:highlight w:val="none"/>
          <w:lang w:val="en-US" w:eastAsia="zh-CN" w:bidi="ar-SA"/>
        </w:rPr>
        <w:t>宗</w:t>
      </w:r>
      <w:r>
        <w:rPr>
          <w:rFonts w:hint="default" w:ascii="仿宋_GB2312" w:hAnsi="仿宋_GB2312" w:eastAsia="仿宋_GB2312" w:cs="仿宋_GB2312"/>
          <w:b w:val="0"/>
          <w:bCs w:val="0"/>
          <w:kern w:val="2"/>
          <w:sz w:val="32"/>
          <w:szCs w:val="32"/>
          <w:highlight w:val="none"/>
          <w:lang w:val="en-US" w:eastAsia="zh-CN" w:bidi="ar-SA"/>
        </w:rPr>
        <w:t>宅基地的，由</w:t>
      </w:r>
      <w:r>
        <w:rPr>
          <w:rFonts w:hint="eastAsia" w:ascii="仿宋_GB2312" w:hAnsi="仿宋_GB2312" w:eastAsia="仿宋_GB2312" w:cs="仿宋_GB2312"/>
          <w:b w:val="0"/>
          <w:bCs w:val="0"/>
          <w:kern w:val="2"/>
          <w:sz w:val="32"/>
          <w:szCs w:val="32"/>
          <w:highlight w:val="none"/>
          <w:lang w:val="en-US" w:eastAsia="zh-CN" w:bidi="ar-SA"/>
        </w:rPr>
        <w:t>村</w:t>
      </w:r>
      <w:r>
        <w:rPr>
          <w:rFonts w:hint="default" w:ascii="仿宋_GB2312" w:hAnsi="仿宋_GB2312" w:eastAsia="仿宋_GB2312" w:cs="仿宋_GB2312"/>
          <w:b w:val="0"/>
          <w:bCs w:val="0"/>
          <w:kern w:val="2"/>
          <w:sz w:val="32"/>
          <w:szCs w:val="32"/>
          <w:highlight w:val="none"/>
          <w:lang w:val="en-US" w:eastAsia="zh-CN" w:bidi="ar-SA"/>
        </w:rPr>
        <w:t>民</w:t>
      </w:r>
      <w:r>
        <w:rPr>
          <w:rFonts w:hint="eastAsia" w:ascii="仿宋_GB2312" w:hAnsi="仿宋_GB2312" w:eastAsia="仿宋_GB2312" w:cs="仿宋_GB2312"/>
          <w:b w:val="0"/>
          <w:bCs w:val="0"/>
          <w:kern w:val="2"/>
          <w:sz w:val="32"/>
          <w:szCs w:val="32"/>
          <w:highlight w:val="none"/>
          <w:lang w:val="en-US" w:eastAsia="zh-CN" w:bidi="ar-SA"/>
        </w:rPr>
        <w:t>按规定</w:t>
      </w:r>
      <w:r>
        <w:rPr>
          <w:rFonts w:hint="default" w:ascii="仿宋_GB2312" w:hAnsi="仿宋_GB2312" w:eastAsia="仿宋_GB2312" w:cs="仿宋_GB2312"/>
          <w:b w:val="0"/>
          <w:bCs w:val="0"/>
          <w:kern w:val="2"/>
          <w:sz w:val="32"/>
          <w:szCs w:val="32"/>
          <w:highlight w:val="none"/>
          <w:lang w:val="en-US" w:eastAsia="zh-CN" w:bidi="ar-SA"/>
        </w:rPr>
        <w:t>选择一</w:t>
      </w:r>
      <w:r>
        <w:rPr>
          <w:rFonts w:hint="eastAsia" w:ascii="仿宋_GB2312" w:hAnsi="仿宋_GB2312" w:eastAsia="仿宋_GB2312" w:cs="仿宋_GB2312"/>
          <w:b w:val="0"/>
          <w:bCs w:val="0"/>
          <w:kern w:val="2"/>
          <w:sz w:val="32"/>
          <w:szCs w:val="32"/>
          <w:highlight w:val="none"/>
          <w:lang w:val="en-US" w:eastAsia="zh-CN" w:bidi="ar-SA"/>
        </w:rPr>
        <w:t>宗</w:t>
      </w:r>
      <w:r>
        <w:rPr>
          <w:rFonts w:hint="default" w:ascii="仿宋_GB2312" w:hAnsi="仿宋_GB2312" w:eastAsia="仿宋_GB2312" w:cs="仿宋_GB2312"/>
          <w:b w:val="0"/>
          <w:bCs w:val="0"/>
          <w:kern w:val="2"/>
          <w:sz w:val="32"/>
          <w:szCs w:val="32"/>
          <w:highlight w:val="none"/>
          <w:lang w:val="en-US" w:eastAsia="zh-CN" w:bidi="ar-SA"/>
        </w:rPr>
        <w:t>宅基地进行确权登记。</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b w:val="0"/>
          <w:bCs w:val="0"/>
          <w:sz w:val="32"/>
          <w:szCs w:val="32"/>
          <w:lang w:val="en-US" w:eastAsia="zh-CN"/>
        </w:rPr>
      </w:pPr>
      <w:r>
        <w:rPr>
          <w:rFonts w:hint="eastAsia" w:ascii="仿宋_GB2312" w:hAnsi="仿宋_GB2312" w:eastAsia="仿宋_GB2312" w:cs="仿宋_GB2312"/>
          <w:b w:val="0"/>
          <w:bCs w:val="0"/>
          <w:kern w:val="2"/>
          <w:sz w:val="32"/>
          <w:szCs w:val="32"/>
          <w:highlight w:val="none"/>
          <w:lang w:val="en-US" w:eastAsia="zh-CN" w:bidi="ar-SA"/>
        </w:rPr>
        <w:t xml:space="preserve">    因婚嫁关系居住在外村，但户籍仍在本村的，夫妻双方只能选择在其中一方申请确权登记，并应当提供在另一方不享受宅基地使用权的证明材料。</w:t>
      </w:r>
    </w:p>
    <w:p>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rightChars="0"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已合法拥有一宗宅基地的本农村集体经济组织成员或非本农村集体经济组织成员（含城镇居民），因继承房屋占用宅基地的，按规定予以确权登记。非本农村集体经济组织成员（含城镇居民）因继承房屋占用宅基地进行确权登记的，在不动产权证“附记栏”注记“该权利人为本农村集体经济组织原成员住宅的合法继承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outlineLvl w:val="0"/>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六、申请登记主体</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outlineLvl w:val="9"/>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宅基地使用权及房屋所有权登记原则上按</w:t>
      </w:r>
      <w:r>
        <w:rPr>
          <w:rFonts w:hint="eastAsia" w:ascii="仿宋_GB2312" w:hAnsi="仿宋_GB2312" w:eastAsia="仿宋_GB2312" w:cs="仿宋_GB2312"/>
          <w:kern w:val="2"/>
          <w:sz w:val="32"/>
          <w:szCs w:val="32"/>
          <w:highlight w:val="none"/>
          <w:lang w:val="en-US" w:eastAsia="zh-CN" w:bidi="ar-SA"/>
        </w:rPr>
        <w:t>户</w:t>
      </w:r>
      <w:r>
        <w:rPr>
          <w:rFonts w:hint="default" w:ascii="仿宋_GB2312" w:hAnsi="仿宋_GB2312" w:eastAsia="仿宋_GB2312" w:cs="仿宋_GB2312"/>
          <w:kern w:val="2"/>
          <w:sz w:val="32"/>
          <w:szCs w:val="32"/>
          <w:highlight w:val="none"/>
          <w:lang w:val="en-US" w:eastAsia="zh-CN" w:bidi="ar-SA"/>
        </w:rPr>
        <w:t>申请，由</w:t>
      </w:r>
      <w:r>
        <w:rPr>
          <w:rFonts w:hint="eastAsia" w:ascii="仿宋_GB2312" w:hAnsi="仿宋_GB2312" w:eastAsia="仿宋_GB2312" w:cs="仿宋_GB2312"/>
          <w:kern w:val="2"/>
          <w:sz w:val="32"/>
          <w:szCs w:val="32"/>
          <w:highlight w:val="none"/>
          <w:lang w:val="en-US" w:eastAsia="zh-CN" w:bidi="ar-SA"/>
        </w:rPr>
        <w:t>户主（户代表）</w:t>
      </w:r>
      <w:r>
        <w:rPr>
          <w:rFonts w:hint="default" w:ascii="仿宋_GB2312" w:hAnsi="仿宋_GB2312" w:eastAsia="仿宋_GB2312" w:cs="仿宋_GB2312"/>
          <w:kern w:val="2"/>
          <w:sz w:val="32"/>
          <w:szCs w:val="32"/>
          <w:highlight w:val="none"/>
          <w:lang w:val="en-US" w:eastAsia="zh-CN" w:bidi="ar-SA"/>
        </w:rPr>
        <w:t>申请办理不动产登记</w:t>
      </w:r>
      <w:r>
        <w:rPr>
          <w:rFonts w:hint="eastAsia" w:ascii="仿宋_GB2312" w:hAnsi="仿宋_GB2312" w:eastAsia="仿宋_GB2312" w:cs="仿宋_GB2312"/>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sz w:val="32"/>
          <w:szCs w:val="32"/>
          <w:highlight w:val="none"/>
          <w:lang w:val="en-US" w:eastAsia="zh-CN"/>
        </w:rPr>
        <w:t>国办发〔1999〕39号</w:t>
      </w:r>
      <w:r>
        <w:rPr>
          <w:rFonts w:hint="eastAsia" w:ascii="仿宋_GB2312" w:hAnsi="仿宋_GB2312" w:eastAsia="仿宋_GB2312" w:cs="仿宋_GB2312"/>
          <w:sz w:val="32"/>
          <w:szCs w:val="32"/>
          <w:highlight w:val="none"/>
          <w:lang w:val="en-US" w:eastAsia="zh-CN"/>
        </w:rPr>
        <w:t>文件印发前</w:t>
      </w:r>
      <w:r>
        <w:rPr>
          <w:rFonts w:hint="eastAsia" w:ascii="仿宋_GB2312" w:hAnsi="仿宋_GB2312" w:eastAsia="仿宋_GB2312" w:cs="仿宋_GB2312"/>
          <w:kern w:val="2"/>
          <w:sz w:val="32"/>
          <w:szCs w:val="32"/>
          <w:highlight w:val="none"/>
          <w:lang w:val="en-US" w:eastAsia="zh-CN" w:bidi="ar-SA"/>
        </w:rPr>
        <w:t>取得宅基地使用权及房屋所有权的</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kern w:val="2"/>
          <w:sz w:val="32"/>
          <w:szCs w:val="32"/>
          <w:highlight w:val="none"/>
          <w:lang w:val="en-US" w:eastAsia="zh-CN" w:bidi="ar-SA"/>
        </w:rPr>
        <w:t>可由权利人申请；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因继承房屋以及人民法院、仲裁委员会生效法律文书等取得房屋所有权的，按照“房地一体”的原则，可由权利人申请。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outlineLvl w:val="0"/>
        <w:rPr>
          <w:rFonts w:hint="default" w:ascii="仿宋_GB2312" w:hAnsi="仿宋_GB2312" w:eastAsia="仿宋_GB2312" w:cs="仿宋_GB2312"/>
          <w:b/>
          <w:bCs/>
          <w:sz w:val="32"/>
          <w:szCs w:val="32"/>
          <w:highlight w:val="none"/>
          <w:lang w:val="en-US" w:eastAsia="zh-CN"/>
        </w:rPr>
      </w:pPr>
      <w:r>
        <w:rPr>
          <w:rFonts w:hint="eastAsia" w:ascii="黑体" w:hAnsi="黑体" w:eastAsia="黑体" w:cs="黑体"/>
          <w:b w:val="0"/>
          <w:bCs w:val="0"/>
          <w:sz w:val="32"/>
          <w:szCs w:val="32"/>
          <w:highlight w:val="none"/>
          <w:lang w:val="en-US" w:eastAsia="zh-CN"/>
        </w:rPr>
        <w:t>七、登记程序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楷体_GB2312" w:hAnsi="楷体_GB2312" w:eastAsia="楷体_GB2312" w:cs="楷体_GB2312"/>
          <w:kern w:val="2"/>
          <w:sz w:val="32"/>
          <w:szCs w:val="32"/>
          <w:lang w:val="en-US" w:eastAsia="zh-CN" w:bidi="ar-SA"/>
        </w:rPr>
        <w:t>（一）</w:t>
      </w:r>
      <w:r>
        <w:rPr>
          <w:rFonts w:hint="eastAsia" w:ascii="楷体_GB2312" w:hAnsi="楷体_GB2312" w:eastAsia="楷体_GB2312" w:cs="楷体_GB2312"/>
          <w:kern w:val="2"/>
          <w:sz w:val="32"/>
          <w:szCs w:val="32"/>
          <w:highlight w:val="none"/>
          <w:lang w:val="en-US" w:eastAsia="zh-CN" w:bidi="ar-SA"/>
        </w:rPr>
        <w:t>申请。</w:t>
      </w:r>
      <w:r>
        <w:rPr>
          <w:rFonts w:hint="eastAsia" w:ascii="仿宋_GB2312" w:hAnsi="仿宋_GB2312" w:eastAsia="仿宋_GB2312" w:cs="仿宋_GB2312"/>
          <w:kern w:val="2"/>
          <w:sz w:val="32"/>
          <w:szCs w:val="32"/>
          <w:highlight w:val="none"/>
          <w:lang w:val="en-US" w:eastAsia="zh-CN" w:bidi="ar-SA"/>
        </w:rPr>
        <w:t>农村集体经济组织根据村民意愿分批组织村民提交材料，初审通过后报镇政府审核确认，镇政府审核通过后向大兴区不动产登记中心统一办理登记。根据不同情况，提交下列材料：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1.不动产登记申请书。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申请人身份证明。按户取得宅基地使用权的，应同时提交依照本细则享有宅基地使用权及房屋所有权的全部家庭成员的身份证件、户口簿，户口簿无法体现家庭成员关系的，还应当提交结婚证等婚姻关系证明材料；由户代表申请登记的，还应提交全部家庭成员同意其申请登记的书面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3.权属来源材料：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（1）经有批准权的人民政府批准用地的，应提交有批准权的人民政府批准用地的文件；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（2）人民法院关于宅基地或房屋产权归属的生效判决，仲裁机构关于宅基地或房屋产权归属的仲裁书，人民政府关于宅基地权属纠纷的处理决定书等；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（3）因继承房屋占用宅基地的，提交确定继承权的法律文书材料；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（4）因分家析产（离婚析产）取得宅基地使用权及房屋所有权的，提交析产的协议或者材料；</w:t>
      </w:r>
    </w:p>
    <w:p>
      <w:pPr>
        <w:pStyle w:val="2"/>
        <w:keepNext w:val="0"/>
        <w:keepLines w:val="0"/>
        <w:pageBreakBefore w:val="0"/>
        <w:widowControl w:val="0"/>
        <w:tabs>
          <w:tab w:val="clear" w:pos="4153"/>
          <w:tab w:val="clear" w:pos="8306"/>
        </w:tabs>
        <w:kinsoku/>
        <w:wordWrap/>
        <w:overflowPunct/>
        <w:topLinePunct w:val="0"/>
        <w:autoSpaceDE/>
        <w:autoSpaceDN/>
        <w:bidi w:val="0"/>
        <w:adjustRightInd w:val="0"/>
        <w:snapToGrid w:val="0"/>
        <w:spacing w:line="520" w:lineRule="exact"/>
        <w:ind w:firstLine="640" w:firstLineChars="200"/>
        <w:jc w:val="both"/>
        <w:textAlignment w:val="auto"/>
        <w:rPr>
          <w:rFonts w:hint="eastAsia"/>
          <w:sz w:val="32"/>
          <w:szCs w:val="32"/>
          <w:lang w:val="en-US" w:eastAsia="zh-CN"/>
        </w:rPr>
      </w:pPr>
      <w:r>
        <w:rPr>
          <w:rFonts w:hint="eastAsia" w:ascii="仿宋_GB2312" w:hAnsi="仿宋_GB2312" w:eastAsia="仿宋_GB2312" w:cs="仿宋_GB2312"/>
          <w:kern w:val="2"/>
          <w:sz w:val="32"/>
          <w:szCs w:val="32"/>
          <w:highlight w:val="none"/>
          <w:lang w:val="en-US" w:eastAsia="zh-CN" w:bidi="ar-SA"/>
        </w:rPr>
        <w:t>（5）</w:t>
      </w:r>
      <w:r>
        <w:rPr>
          <w:rFonts w:hint="default" w:ascii="仿宋_GB2312" w:hAnsi="仿宋_GB2312" w:eastAsia="仿宋_GB2312" w:cs="仿宋_GB2312"/>
          <w:sz w:val="32"/>
          <w:szCs w:val="32"/>
          <w:highlight w:val="none"/>
          <w:lang w:val="en-US" w:eastAsia="zh-CN"/>
        </w:rPr>
        <w:t>国办发〔1999〕39号</w:t>
      </w:r>
      <w:r>
        <w:rPr>
          <w:rFonts w:hint="eastAsia" w:ascii="仿宋_GB2312" w:hAnsi="仿宋_GB2312" w:eastAsia="仿宋_GB2312" w:cs="仿宋_GB2312"/>
          <w:sz w:val="32"/>
          <w:szCs w:val="32"/>
          <w:highlight w:val="none"/>
          <w:lang w:val="en-US" w:eastAsia="zh-CN"/>
        </w:rPr>
        <w:t>文件印发前</w:t>
      </w:r>
      <w:r>
        <w:rPr>
          <w:rFonts w:hint="eastAsia" w:ascii="仿宋_GB2312" w:hAnsi="仿宋_GB2312" w:eastAsia="仿宋_GB2312" w:cs="仿宋_GB2312"/>
          <w:kern w:val="2"/>
          <w:sz w:val="32"/>
          <w:szCs w:val="32"/>
          <w:highlight w:val="none"/>
          <w:lang w:val="en-US" w:eastAsia="zh-CN" w:bidi="ar-SA"/>
        </w:rPr>
        <w:t>取得宅基地使用权及房屋所有权的</w:t>
      </w:r>
      <w:r>
        <w:rPr>
          <w:rFonts w:hint="eastAsia" w:ascii="仿宋_GB2312" w:hAnsi="仿宋_GB2312" w:eastAsia="仿宋_GB2312" w:cs="仿宋_GB2312"/>
          <w:sz w:val="32"/>
          <w:szCs w:val="32"/>
          <w:highlight w:val="none"/>
          <w:lang w:val="en-US" w:eastAsia="zh-CN"/>
        </w:rPr>
        <w:t>，提交取得</w:t>
      </w:r>
      <w:r>
        <w:rPr>
          <w:rFonts w:hint="eastAsia" w:ascii="仿宋_GB2312" w:hAnsi="仿宋_GB2312" w:eastAsia="仿宋_GB2312" w:cs="仿宋_GB2312"/>
          <w:kern w:val="2"/>
          <w:sz w:val="32"/>
          <w:szCs w:val="32"/>
          <w:highlight w:val="none"/>
          <w:lang w:val="en-US" w:eastAsia="zh-CN" w:bidi="ar-SA"/>
        </w:rPr>
        <w:t>宅基地使用权及房屋所有权的</w:t>
      </w:r>
      <w:r>
        <w:rPr>
          <w:rFonts w:hint="eastAsia" w:ascii="仿宋_GB2312" w:hAnsi="仿宋_GB2312" w:eastAsia="仿宋_GB2312" w:cs="仿宋_GB2312"/>
          <w:sz w:val="32"/>
          <w:szCs w:val="32"/>
          <w:highlight w:val="none"/>
          <w:lang w:val="en-US" w:eastAsia="zh-CN"/>
        </w:rPr>
        <w:t>的材料；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（6）经农村集体经济组织同意，农村集体经济组织内部互换房屋取得宅基地使用权及房屋所有权的，提交集体经济组织内部互换房屋的协议；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（7）经农村集体经济组织同意，符合宅基地申请条件的农村集体经济组织成员购买本农村集体经济组织成员的房屋，取得宅基地使用权及房屋所有权的，提交买卖合同；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（8）经农村集体经济组织同意，符合宅基地申请条件的农村集体经济组织成员接受本农村集体经济组织成员赠与的房屋，取得宅基地使用权及房屋所有权的，提交赠与协议。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属于（3）（4）（6）（7）（8）情形的，申请人持有该宗宅基地原始用地批准文件及地上房屋建设手续材料的，应一并提交；历史上就宅基地使用权已依法登记的，应同时提交原不动产权属证书。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经农村集体经济组织核实、镇政府认定的每宗宅基地使用权（含房屋所有权）材料，及农村集体经济组织、镇政府对无土地权属来源材料、无房屋符合规划相关材料、宅基地上房屋符合安全标准出具的审核意见，应一并作为权属来源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4.地籍调查成果。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5.公安部门出具的或经公安部门核实确认的宅基地院门牌证明材料，提交的户口簿住址与宅基地坐落经核实确属一致的不用提交。</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6.法律、行政法规以及《不动产登记暂行条例实施细则》等规定的其他材料。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楷体_GB2312" w:hAnsi="楷体_GB2312" w:eastAsia="楷体_GB2312" w:cs="楷体_GB2312"/>
          <w:kern w:val="2"/>
          <w:sz w:val="32"/>
          <w:szCs w:val="32"/>
          <w:lang w:val="en-US" w:eastAsia="zh-CN" w:bidi="ar-SA"/>
        </w:rPr>
        <w:t>（二）受理。</w:t>
      </w:r>
      <w:r>
        <w:rPr>
          <w:rFonts w:hint="eastAsia" w:ascii="仿宋_GB2312" w:hAnsi="仿宋_GB2312" w:eastAsia="仿宋_GB2312" w:cs="仿宋_GB2312"/>
          <w:kern w:val="2"/>
          <w:sz w:val="32"/>
          <w:szCs w:val="32"/>
          <w:highlight w:val="none"/>
          <w:lang w:val="en-US" w:eastAsia="zh-CN" w:bidi="ar-SA"/>
        </w:rPr>
        <w:t>大兴区不动产登记中心根据本细则，采取“批量受理、集中办证”方式，按照不动产登记相关规定办理登记。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楷体_GB2312" w:hAnsi="楷体_GB2312" w:eastAsia="楷体_GB2312" w:cs="楷体_GB2312"/>
          <w:kern w:val="2"/>
          <w:sz w:val="32"/>
          <w:szCs w:val="32"/>
          <w:lang w:val="en-US" w:eastAsia="zh-CN" w:bidi="ar-SA"/>
        </w:rPr>
        <w:t>（三）审核。</w:t>
      </w:r>
      <w:r>
        <w:rPr>
          <w:rFonts w:hint="eastAsia" w:ascii="仿宋_GB2312" w:hAnsi="仿宋_GB2312" w:eastAsia="仿宋_GB2312" w:cs="仿宋_GB2312"/>
          <w:kern w:val="2"/>
          <w:sz w:val="32"/>
          <w:szCs w:val="32"/>
          <w:highlight w:val="none"/>
          <w:lang w:val="en-US" w:eastAsia="zh-CN" w:bidi="ar-SA"/>
        </w:rPr>
        <w:t>大兴区不动产登记中心在审核过程中应注意以下要点：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w:t>
      </w:r>
      <w:r>
        <w:rPr>
          <w:rFonts w:hint="default" w:ascii="仿宋_GB2312" w:hAnsi="仿宋_GB2312" w:eastAsia="仿宋_GB2312" w:cs="仿宋_GB2312"/>
          <w:kern w:val="2"/>
          <w:sz w:val="32"/>
          <w:szCs w:val="32"/>
          <w:highlight w:val="none"/>
          <w:lang w:val="en-US" w:eastAsia="zh-CN" w:bidi="ar-SA"/>
        </w:rPr>
        <w:t>是否有合法的土地权属来源材料；</w:t>
      </w:r>
      <w:r>
        <w:rPr>
          <w:rFonts w:hint="eastAsia" w:ascii="仿宋_GB2312" w:hAnsi="仿宋_GB2312" w:eastAsia="仿宋_GB2312" w:cs="仿宋_GB2312"/>
          <w:kern w:val="2"/>
          <w:sz w:val="32"/>
          <w:szCs w:val="32"/>
          <w:lang w:val="en-US" w:eastAsia="zh-CN" w:bidi="ar-SA"/>
        </w:rPr>
        <w:t>取得宅基地或者在宅基地上建房</w:t>
      </w:r>
      <w:r>
        <w:rPr>
          <w:rFonts w:hint="default" w:ascii="仿宋_GB2312" w:hAnsi="仿宋_GB2312" w:eastAsia="仿宋_GB2312" w:cs="仿宋_GB2312"/>
          <w:kern w:val="2"/>
          <w:sz w:val="32"/>
          <w:szCs w:val="32"/>
          <w:highlight w:val="none"/>
          <w:lang w:val="en-US" w:eastAsia="zh-CN" w:bidi="ar-SA"/>
        </w:rPr>
        <w:t>时未取得批准文件的，是否已经村</w:t>
      </w:r>
      <w:r>
        <w:rPr>
          <w:rFonts w:hint="eastAsia" w:ascii="仿宋_GB2312" w:hAnsi="仿宋_GB2312" w:eastAsia="仿宋_GB2312" w:cs="仿宋_GB2312"/>
          <w:kern w:val="2"/>
          <w:sz w:val="32"/>
          <w:szCs w:val="32"/>
          <w:highlight w:val="none"/>
          <w:lang w:val="en-US" w:eastAsia="zh-CN" w:bidi="ar-SA"/>
        </w:rPr>
        <w:t>集体经济组织</w:t>
      </w:r>
      <w:r>
        <w:rPr>
          <w:rFonts w:hint="default" w:ascii="仿宋_GB2312" w:hAnsi="仿宋_GB2312" w:eastAsia="仿宋_GB2312" w:cs="仿宋_GB2312"/>
          <w:kern w:val="2"/>
          <w:sz w:val="32"/>
          <w:szCs w:val="32"/>
          <w:highlight w:val="none"/>
          <w:lang w:val="en-US" w:eastAsia="zh-CN" w:bidi="ar-SA"/>
        </w:rPr>
        <w:t>核实和镇政府认定</w:t>
      </w:r>
      <w:r>
        <w:rPr>
          <w:rFonts w:hint="eastAsia" w:ascii="仿宋_GB2312" w:hAnsi="仿宋_GB2312" w:eastAsia="仿宋_GB2312" w:cs="仿宋_GB2312"/>
          <w:kern w:val="2"/>
          <w:sz w:val="32"/>
          <w:szCs w:val="32"/>
          <w:highlight w:val="none"/>
          <w:lang w:val="en-US" w:eastAsia="zh-CN" w:bidi="ar-SA"/>
        </w:rPr>
        <w:t>。《实施细则》</w:t>
      </w:r>
      <w:r>
        <w:rPr>
          <w:rFonts w:hint="eastAsia" w:ascii="仿宋_GB2312" w:hAnsi="仿宋_GB2312" w:eastAsia="仿宋_GB2312" w:cs="仿宋_GB2312"/>
          <w:kern w:val="2"/>
          <w:sz w:val="32"/>
          <w:szCs w:val="32"/>
          <w:lang w:val="en-US" w:eastAsia="zh-CN" w:bidi="ar-SA"/>
        </w:rPr>
        <w:t>印发后取得宅基地或者在宅基地上建房的，是否按照</w:t>
      </w:r>
      <w:r>
        <w:rPr>
          <w:rFonts w:hint="eastAsia" w:ascii="仿宋_GB2312" w:hAnsi="仿宋_GB2312" w:eastAsia="仿宋_GB2312" w:cs="仿宋_GB2312"/>
          <w:kern w:val="2"/>
          <w:sz w:val="32"/>
          <w:szCs w:val="32"/>
          <w:highlight w:val="none"/>
          <w:lang w:val="en-US" w:eastAsia="zh-CN" w:bidi="ar-SA"/>
        </w:rPr>
        <w:t>《实施细则》规定提交材料；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outlineLvl w:val="9"/>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w:t>
      </w:r>
      <w:r>
        <w:rPr>
          <w:rFonts w:hint="default" w:ascii="仿宋_GB2312" w:hAnsi="仿宋_GB2312" w:eastAsia="仿宋_GB2312" w:cs="仿宋_GB2312"/>
          <w:kern w:val="2"/>
          <w:sz w:val="32"/>
          <w:szCs w:val="32"/>
          <w:highlight w:val="none"/>
          <w:lang w:val="en-US" w:eastAsia="zh-CN" w:bidi="ar-SA"/>
        </w:rPr>
        <w:t>不动产登记申请书、权属来源材料等记载的主体是否一致</w:t>
      </w:r>
      <w:r>
        <w:rPr>
          <w:rFonts w:hint="eastAsia" w:ascii="仿宋_GB2312" w:hAnsi="仿宋_GB2312" w:eastAsia="仿宋_GB2312" w:cs="仿宋_GB2312"/>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w:t>
      </w:r>
      <w:r>
        <w:rPr>
          <w:rFonts w:hint="default" w:ascii="仿宋_GB2312" w:hAnsi="仿宋_GB2312" w:eastAsia="仿宋_GB2312" w:cs="仿宋_GB2312"/>
          <w:kern w:val="2"/>
          <w:sz w:val="32"/>
          <w:szCs w:val="32"/>
          <w:highlight w:val="none"/>
          <w:lang w:val="en-US" w:eastAsia="zh-CN" w:bidi="ar-SA"/>
        </w:rPr>
        <w:t>房屋是否符合规划相关要求</w:t>
      </w:r>
      <w:r>
        <w:rPr>
          <w:rFonts w:hint="eastAsia" w:ascii="仿宋_GB2312" w:hAnsi="仿宋_GB2312" w:eastAsia="仿宋_GB2312" w:cs="仿宋_GB2312"/>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outlineLvl w:val="9"/>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4.</w:t>
      </w:r>
      <w:r>
        <w:rPr>
          <w:rFonts w:hint="default" w:ascii="仿宋_GB2312" w:hAnsi="仿宋_GB2312" w:eastAsia="仿宋_GB2312" w:cs="仿宋_GB2312"/>
          <w:kern w:val="2"/>
          <w:sz w:val="32"/>
          <w:szCs w:val="32"/>
          <w:highlight w:val="none"/>
          <w:lang w:val="en-US" w:eastAsia="zh-CN" w:bidi="ar-SA"/>
        </w:rPr>
        <w:t>地籍调查成果资料是否齐全、规范，地籍调查表记载的权利人、权利类型及其性质等是否准确，宗地图和房屋平面图、界址坐标、面积等是否符合要求</w:t>
      </w:r>
      <w:r>
        <w:rPr>
          <w:rFonts w:hint="eastAsia" w:ascii="仿宋_GB2312" w:hAnsi="仿宋_GB2312" w:eastAsia="仿宋_GB2312" w:cs="仿宋_GB2312"/>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outlineLvl w:val="9"/>
        <w:rPr>
          <w:rFonts w:hint="default" w:ascii="仿宋_GB2312" w:hAnsi="仿宋_GB2312" w:eastAsia="仿宋_GB2312" w:cs="仿宋_GB2312"/>
          <w:kern w:val="2"/>
          <w:sz w:val="32"/>
          <w:szCs w:val="32"/>
          <w:highlight w:val="none"/>
          <w:lang w:val="en-US" w:eastAsia="zh-CN" w:bidi="ar-SA"/>
        </w:rPr>
      </w:pPr>
      <w:r>
        <w:rPr>
          <w:rFonts w:hint="eastAsia" w:ascii="楷体_GB2312" w:hAnsi="楷体_GB2312" w:eastAsia="楷体_GB2312" w:cs="楷体_GB2312"/>
          <w:kern w:val="2"/>
          <w:sz w:val="32"/>
          <w:szCs w:val="32"/>
          <w:lang w:val="en-US" w:eastAsia="zh-CN" w:bidi="ar-SA"/>
        </w:rPr>
        <w:t>（四）公示。</w:t>
      </w:r>
      <w:r>
        <w:rPr>
          <w:rFonts w:hint="eastAsia" w:ascii="仿宋_GB2312" w:hAnsi="仿宋_GB2312" w:eastAsia="仿宋_GB2312" w:cs="仿宋_GB2312"/>
          <w:kern w:val="2"/>
          <w:sz w:val="32"/>
          <w:szCs w:val="32"/>
          <w:highlight w:val="none"/>
          <w:lang w:val="en-US" w:eastAsia="zh-CN" w:bidi="ar-SA"/>
        </w:rPr>
        <w:t>符合登记条件的，大兴区不动产登记中心在记载于不动产登记簿前</w:t>
      </w:r>
      <w:r>
        <w:rPr>
          <w:rFonts w:hint="default" w:ascii="仿宋_GB2312" w:hAnsi="仿宋_GB2312" w:eastAsia="仿宋_GB2312" w:cs="仿宋_GB2312"/>
          <w:kern w:val="2"/>
          <w:sz w:val="32"/>
          <w:szCs w:val="32"/>
          <w:highlight w:val="none"/>
          <w:lang w:val="en-US" w:eastAsia="zh-CN" w:bidi="ar-SA"/>
        </w:rPr>
        <w:t>按照《北京市不动产登记工作规范》要求，对拟登记事项在</w:t>
      </w:r>
      <w:r>
        <w:rPr>
          <w:rFonts w:hint="eastAsia" w:ascii="仿宋_GB2312" w:hAnsi="仿宋_GB2312" w:eastAsia="仿宋_GB2312" w:cs="仿宋_GB2312"/>
          <w:kern w:val="2"/>
          <w:sz w:val="32"/>
          <w:szCs w:val="32"/>
          <w:highlight w:val="none"/>
          <w:lang w:val="en-US" w:eastAsia="zh-CN" w:bidi="ar-SA"/>
        </w:rPr>
        <w:t>不动产登记机构</w:t>
      </w:r>
      <w:r>
        <w:rPr>
          <w:rFonts w:hint="default" w:ascii="仿宋_GB2312" w:hAnsi="仿宋_GB2312" w:eastAsia="仿宋_GB2312" w:cs="仿宋_GB2312"/>
          <w:kern w:val="2"/>
          <w:sz w:val="32"/>
          <w:szCs w:val="32"/>
          <w:highlight w:val="none"/>
          <w:lang w:val="en-US" w:eastAsia="zh-CN" w:bidi="ar-SA"/>
        </w:rPr>
        <w:t>门户网站以及宅基地所在村进行15个工作日的</w:t>
      </w:r>
      <w:r>
        <w:rPr>
          <w:rFonts w:hint="eastAsia" w:ascii="仿宋_GB2312" w:hAnsi="仿宋_GB2312" w:eastAsia="仿宋_GB2312" w:cs="仿宋_GB2312"/>
          <w:kern w:val="2"/>
          <w:sz w:val="32"/>
          <w:szCs w:val="32"/>
          <w:highlight w:val="none"/>
          <w:lang w:val="en-US" w:eastAsia="zh-CN" w:bidi="ar-SA"/>
        </w:rPr>
        <w:t>公示</w:t>
      </w:r>
      <w:r>
        <w:rPr>
          <w:rFonts w:hint="default" w:ascii="仿宋_GB2312" w:hAnsi="仿宋_GB2312" w:eastAsia="仿宋_GB2312" w:cs="仿宋_GB2312"/>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楷体_GB2312" w:hAnsi="楷体_GB2312" w:eastAsia="楷体_GB2312" w:cs="楷体_GB2312"/>
          <w:kern w:val="2"/>
          <w:sz w:val="32"/>
          <w:szCs w:val="32"/>
          <w:lang w:val="en-US" w:eastAsia="zh-CN" w:bidi="ar-SA"/>
        </w:rPr>
        <w:t>（五）登簿发证。</w:t>
      </w:r>
      <w:r>
        <w:rPr>
          <w:rFonts w:hint="eastAsia" w:ascii="仿宋_GB2312" w:hAnsi="仿宋_GB2312" w:eastAsia="仿宋_GB2312" w:cs="仿宋_GB2312"/>
          <w:kern w:val="2"/>
          <w:sz w:val="32"/>
          <w:szCs w:val="32"/>
          <w:highlight w:val="none"/>
          <w:lang w:val="en-US" w:eastAsia="zh-CN" w:bidi="ar-SA"/>
        </w:rPr>
        <w:t>公示期满无异议或异议不成立的，由大兴区不动产登记中心将登记事项记载于不动产登记簿并颁发不动产权证。</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outlineLvl w:val="0"/>
        <w:rPr>
          <w:rFonts w:hint="eastAsia" w:ascii="仿宋_GB2312" w:hAnsi="仿宋_GB2312" w:eastAsia="仿宋_GB2312" w:cs="仿宋_GB2312"/>
          <w:b/>
          <w:bCs/>
          <w:sz w:val="32"/>
          <w:szCs w:val="32"/>
          <w:highlight w:val="none"/>
          <w:lang w:val="en-US" w:eastAsia="zh-CN"/>
        </w:rPr>
      </w:pPr>
      <w:r>
        <w:rPr>
          <w:rFonts w:hint="eastAsia" w:ascii="黑体" w:hAnsi="黑体" w:eastAsia="黑体" w:cs="黑体"/>
          <w:b w:val="0"/>
          <w:bCs w:val="0"/>
          <w:sz w:val="32"/>
          <w:szCs w:val="32"/>
          <w:highlight w:val="none"/>
          <w:lang w:val="en-US" w:eastAsia="zh-CN"/>
        </w:rPr>
        <w:t>八、不予确权登记的情形</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（一）除继承房屋占用宅基地外，申请人不符合“一户一宅”规定的；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outlineLvl w:val="9"/>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（二）</w:t>
      </w:r>
      <w:r>
        <w:rPr>
          <w:rFonts w:hint="default" w:ascii="仿宋_GB2312" w:hAnsi="仿宋_GB2312" w:eastAsia="仿宋_GB2312" w:cs="仿宋_GB2312"/>
          <w:kern w:val="2"/>
          <w:sz w:val="32"/>
          <w:szCs w:val="32"/>
          <w:highlight w:val="none"/>
          <w:lang w:val="en-US" w:eastAsia="zh-CN" w:bidi="ar-SA"/>
        </w:rPr>
        <w:t>空闲或房屋坍塌、拆除两年以上未恢复使用的宅基地；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outlineLvl w:val="9"/>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（三）</w:t>
      </w:r>
      <w:r>
        <w:rPr>
          <w:rFonts w:hint="default" w:ascii="仿宋_GB2312" w:hAnsi="仿宋_GB2312" w:eastAsia="仿宋_GB2312" w:cs="仿宋_GB2312"/>
          <w:kern w:val="2"/>
          <w:sz w:val="32"/>
          <w:szCs w:val="32"/>
          <w:highlight w:val="none"/>
          <w:lang w:val="en-US" w:eastAsia="zh-CN" w:bidi="ar-SA"/>
        </w:rPr>
        <w:t>农村简易房、圈舍、农具房、厕所等临时性建（构）筑物，没有规划或者建设等相关材料的；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outlineLvl w:val="9"/>
        <w:rPr>
          <w:rFonts w:hint="default"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（四）</w:t>
      </w:r>
      <w:r>
        <w:rPr>
          <w:rFonts w:hint="default" w:ascii="仿宋_GB2312" w:hAnsi="仿宋_GB2312" w:eastAsia="仿宋_GB2312" w:cs="仿宋_GB2312"/>
          <w:kern w:val="2"/>
          <w:sz w:val="32"/>
          <w:szCs w:val="32"/>
          <w:highlight w:val="none"/>
          <w:lang w:val="en-US" w:eastAsia="zh-CN" w:bidi="ar-SA"/>
        </w:rPr>
        <w:t>土地权属</w:t>
      </w:r>
      <w:r>
        <w:rPr>
          <w:rFonts w:hint="eastAsia" w:ascii="仿宋_GB2312" w:hAnsi="仿宋_GB2312" w:eastAsia="仿宋_GB2312" w:cs="仿宋_GB2312"/>
          <w:kern w:val="2"/>
          <w:sz w:val="32"/>
          <w:szCs w:val="32"/>
          <w:highlight w:val="none"/>
          <w:lang w:val="en-US" w:eastAsia="zh-CN" w:bidi="ar-SA"/>
        </w:rPr>
        <w:t>存在</w:t>
      </w:r>
      <w:r>
        <w:rPr>
          <w:rFonts w:hint="default" w:ascii="仿宋_GB2312" w:hAnsi="仿宋_GB2312" w:eastAsia="仿宋_GB2312" w:cs="仿宋_GB2312"/>
          <w:kern w:val="2"/>
          <w:sz w:val="32"/>
          <w:szCs w:val="32"/>
          <w:highlight w:val="none"/>
          <w:lang w:val="en-US" w:eastAsia="zh-CN" w:bidi="ar-SA"/>
        </w:rPr>
        <w:t>争议</w:t>
      </w:r>
      <w:r>
        <w:rPr>
          <w:rFonts w:hint="eastAsia" w:ascii="仿宋_GB2312" w:hAnsi="仿宋_GB2312" w:eastAsia="仿宋_GB2312" w:cs="仿宋_GB2312"/>
          <w:kern w:val="2"/>
          <w:sz w:val="32"/>
          <w:szCs w:val="32"/>
          <w:highlight w:val="none"/>
          <w:lang w:val="en-US" w:eastAsia="zh-CN" w:bidi="ar-SA"/>
        </w:rPr>
        <w:t>尚</w:t>
      </w:r>
      <w:r>
        <w:rPr>
          <w:rFonts w:hint="default" w:ascii="仿宋_GB2312" w:hAnsi="仿宋_GB2312" w:eastAsia="仿宋_GB2312" w:cs="仿宋_GB2312"/>
          <w:kern w:val="2"/>
          <w:sz w:val="32"/>
          <w:szCs w:val="32"/>
          <w:highlight w:val="none"/>
          <w:lang w:val="en-US" w:eastAsia="zh-CN" w:bidi="ar-SA"/>
        </w:rPr>
        <w:t>未解决的；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（五）</w:t>
      </w:r>
      <w:r>
        <w:rPr>
          <w:rFonts w:hint="default" w:ascii="仿宋_GB2312" w:hAnsi="仿宋_GB2312" w:eastAsia="仿宋_GB2312" w:cs="仿宋_GB2312"/>
          <w:kern w:val="2"/>
          <w:sz w:val="32"/>
          <w:szCs w:val="32"/>
          <w:highlight w:val="none"/>
          <w:lang w:val="en-US" w:eastAsia="zh-CN" w:bidi="ar-SA"/>
        </w:rPr>
        <w:t>城镇居民非法</w:t>
      </w:r>
      <w:r>
        <w:rPr>
          <w:rFonts w:hint="eastAsia" w:ascii="仿宋_GB2312" w:hAnsi="仿宋_GB2312" w:eastAsia="仿宋_GB2312" w:cs="仿宋_GB2312"/>
          <w:kern w:val="2"/>
          <w:sz w:val="32"/>
          <w:szCs w:val="32"/>
          <w:highlight w:val="none"/>
          <w:lang w:val="en-US" w:eastAsia="zh-CN" w:bidi="ar-SA"/>
        </w:rPr>
        <w:t>占用宅基地建造房屋、购买农房或“小产权房”的；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（六）村民违反土地管理法、城乡规划法、建筑法等法律法规规定私自占地建房，尚</w:t>
      </w:r>
      <w:r>
        <w:rPr>
          <w:rFonts w:hint="default" w:ascii="仿宋_GB2312" w:hAnsi="仿宋_GB2312" w:eastAsia="仿宋_GB2312" w:cs="仿宋_GB2312"/>
          <w:kern w:val="2"/>
          <w:sz w:val="32"/>
          <w:szCs w:val="32"/>
          <w:highlight w:val="none"/>
          <w:lang w:val="en-US" w:eastAsia="zh-CN" w:bidi="ar-SA"/>
        </w:rPr>
        <w:t>未处理或正在处理的；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（七）法律、法规规定的其他情况。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outlineLvl w:val="0"/>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九、注记规定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0" w:right="0"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结合宅基地使用权特点，</w:t>
      </w:r>
      <w:r>
        <w:rPr>
          <w:rFonts w:hint="eastAsia" w:ascii="仿宋_GB2312" w:hAnsi="仿宋_GB2312" w:eastAsia="仿宋_GB2312" w:cs="仿宋_GB2312"/>
          <w:b w:val="0"/>
          <w:bCs w:val="0"/>
          <w:sz w:val="32"/>
          <w:szCs w:val="32"/>
          <w:highlight w:val="none"/>
          <w:lang w:val="en-US" w:eastAsia="zh-CN"/>
        </w:rPr>
        <w:t>以下特殊情形应当在不动产登记簿及不动产权证“附记栏”中注记：权利人为非本农村集体经济组成员的；不动产权利为依法继承取得的；依据法律文书办理的；确权登记的面积与实际面积不一致的，注记实际面积。</w:t>
      </w:r>
    </w:p>
    <w:p>
      <w:pPr>
        <w:pStyle w:val="2"/>
        <w:keepNext w:val="0"/>
        <w:keepLines w:val="0"/>
        <w:pageBreakBefore w:val="0"/>
        <w:widowControl w:val="0"/>
        <w:tabs>
          <w:tab w:val="clear" w:pos="4153"/>
          <w:tab w:val="clear" w:pos="8306"/>
        </w:tabs>
        <w:kinsoku/>
        <w:wordWrap/>
        <w:overflowPunct/>
        <w:topLinePunct w:val="0"/>
        <w:autoSpaceDE/>
        <w:autoSpaceDN/>
        <w:bidi w:val="0"/>
        <w:adjustRightInd w:val="0"/>
        <w:snapToGrid w:val="0"/>
        <w:spacing w:line="520" w:lineRule="exact"/>
        <w:ind w:firstLine="640" w:firstLineChars="200"/>
        <w:textAlignment w:val="auto"/>
        <w:rPr>
          <w:rFonts w:hint="eastAsia"/>
          <w:sz w:val="32"/>
          <w:szCs w:val="32"/>
          <w:lang w:val="zh-CN" w:eastAsia="zh-CN"/>
        </w:rPr>
      </w:pPr>
      <w:r>
        <w:rPr>
          <w:rFonts w:hint="eastAsia" w:ascii="仿宋_GB2312" w:hAnsi="仿宋_GB2312" w:eastAsia="仿宋_GB2312" w:cs="仿宋_GB2312"/>
          <w:kern w:val="2"/>
          <w:sz w:val="32"/>
          <w:szCs w:val="32"/>
          <w:highlight w:val="none"/>
          <w:lang w:val="en-US" w:eastAsia="zh-CN" w:bidi="ar-SA"/>
        </w:rPr>
        <w:t>本细则规定内容与后续北京市出台的宅基地确权登记相关政策文件冲突的，以市级相关政策文件的规定为准。本细则在房地一体宅基地确权登记专项工作结束后自动失效。</w:t>
      </w:r>
    </w:p>
    <w:p>
      <w:pPr>
        <w:keepNext w:val="0"/>
        <w:keepLines w:val="0"/>
        <w:pageBreakBefore w:val="0"/>
        <w:kinsoku/>
        <w:wordWrap/>
        <w:overflowPunct/>
        <w:topLinePunct w:val="0"/>
        <w:autoSpaceDE/>
        <w:autoSpaceDN/>
        <w:bidi w:val="0"/>
        <w:adjustRightInd w:val="0"/>
        <w:snapToGrid w:val="0"/>
        <w:spacing w:line="540" w:lineRule="exact"/>
        <w:ind w:left="0" w:firstLine="640" w:firstLineChars="200"/>
        <w:textAlignment w:val="auto"/>
        <w:rPr>
          <w:rFonts w:hint="eastAsia" w:ascii="仿宋_GB2312" w:hAnsi="仿宋_GB2312" w:eastAsia="仿宋_GB2312"/>
          <w:color w:val="auto"/>
          <w:sz w:val="32"/>
          <w:highlight w:val="none"/>
          <w:lang w:val="en-US" w:eastAsia="zh-CN"/>
        </w:rPr>
      </w:pPr>
    </w:p>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mNTU5ZjM2MzZmODBlOGY0MTljMmRjM2IxMjY2MWEifQ=="/>
  </w:docVars>
  <w:rsids>
    <w:rsidRoot w:val="71542483"/>
    <w:rsid w:val="71542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rPr>
      <w:rFonts w:ascii="Calibri" w:hAnsi="Calibri" w:eastAsia="宋体" w:cs="Droid Sans"/>
      <w:sz w:val="24"/>
      <w:szCs w:val="24"/>
      <w:lang w:val="en-US" w:eastAsia="zh-CN"/>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Body Text"/>
    <w:basedOn w:val="1"/>
    <w:next w:val="1"/>
    <w:qFormat/>
    <w:uiPriority w:val="0"/>
    <w:rPr>
      <w:b/>
      <w:bCs/>
      <w:sz w:val="32"/>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2025-01-06T08:11:00Z</dcterms:created>
  <dc:creator>侯锴</dc:creator>
  <cp:lastModifiedBy>侯锴</cp:lastModifiedBy>
  <dcterms:modified xsi:type="dcterms:W3CDTF">2025-01-06T08:12:29Z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53C5A3704B9E4158B20633C87AB020E1_11</vt:lpwstr>
  </property>
</Properties>
</file>